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4700" w14:textId="77777777" w:rsidR="00853B1D" w:rsidRPr="00AC3F27" w:rsidRDefault="00853B1D" w:rsidP="00853B1D">
      <w:pPr>
        <w:spacing w:after="0" w:line="360" w:lineRule="auto"/>
        <w:jc w:val="center"/>
        <w:rPr>
          <w:rFonts w:asciiTheme="majorBidi" w:hAnsiTheme="majorBidi" w:cstheme="majorBidi"/>
          <w:b/>
          <w:bCs/>
          <w:spacing w:val="-2"/>
          <w:sz w:val="28"/>
          <w:szCs w:val="28"/>
          <w:highlight w:val="yellow"/>
          <w:lang w:bidi="fa-IR"/>
        </w:rPr>
      </w:pPr>
      <w:r w:rsidRPr="00AC3F27">
        <w:rPr>
          <w:rFonts w:asciiTheme="majorBidi" w:hAnsiTheme="majorBidi" w:cstheme="majorBidi"/>
          <w:b/>
          <w:bCs/>
          <w:spacing w:val="-2"/>
          <w:sz w:val="28"/>
          <w:szCs w:val="28"/>
          <w:highlight w:val="yellow"/>
          <w:lang w:bidi="fa-IR"/>
        </w:rPr>
        <w:t>Oral squamous cell carcinoma in Zahedan, Southeast Iran (2021–2023): a cross-sectional epidemiological study</w:t>
      </w:r>
    </w:p>
    <w:p w14:paraId="3A76B7A6" w14:textId="77777777" w:rsidR="00853B1D" w:rsidRPr="00AC3F27" w:rsidRDefault="00853B1D" w:rsidP="00853B1D">
      <w:pPr>
        <w:spacing w:after="0" w:line="360" w:lineRule="auto"/>
        <w:jc w:val="both"/>
        <w:rPr>
          <w:rFonts w:asciiTheme="majorBidi" w:hAnsiTheme="majorBidi" w:cstheme="majorBidi"/>
          <w:spacing w:val="-2"/>
          <w:highlight w:val="yellow"/>
        </w:rPr>
      </w:pPr>
    </w:p>
    <w:p w14:paraId="77701D50" w14:textId="77777777" w:rsidR="00853B1D" w:rsidRPr="00AC3F27" w:rsidRDefault="00853B1D" w:rsidP="00853B1D">
      <w:pPr>
        <w:pStyle w:val="Heading1"/>
        <w:spacing w:before="0" w:after="0" w:line="460" w:lineRule="atLeast"/>
        <w:jc w:val="both"/>
        <w:rPr>
          <w:rStyle w:val="Heading2Char"/>
          <w:rFonts w:asciiTheme="majorBidi" w:hAnsiTheme="majorBidi"/>
          <w:b/>
          <w:bCs/>
          <w:color w:val="auto"/>
          <w:spacing w:val="-2"/>
          <w:sz w:val="24"/>
          <w:szCs w:val="24"/>
          <w:highlight w:val="yellow"/>
        </w:rPr>
      </w:pPr>
      <w:r w:rsidRPr="00AC3F27">
        <w:rPr>
          <w:rFonts w:asciiTheme="majorBidi" w:hAnsiTheme="majorBidi"/>
          <w:b/>
          <w:bCs/>
          <w:color w:val="auto"/>
          <w:spacing w:val="-2"/>
          <w:sz w:val="24"/>
          <w:szCs w:val="24"/>
          <w:highlight w:val="yellow"/>
        </w:rPr>
        <w:t>Abstract</w:t>
      </w:r>
    </w:p>
    <w:p w14:paraId="2321873E" w14:textId="77777777" w:rsidR="00853B1D" w:rsidRPr="00AC3F27" w:rsidRDefault="00853B1D" w:rsidP="00853B1D">
      <w:pPr>
        <w:spacing w:after="0" w:line="460" w:lineRule="atLeast"/>
        <w:jc w:val="both"/>
        <w:rPr>
          <w:rFonts w:asciiTheme="majorBidi" w:eastAsiaTheme="majorEastAsia" w:hAnsiTheme="majorBidi" w:cstheme="majorBidi"/>
          <w:b/>
          <w:bCs/>
          <w:spacing w:val="-2"/>
          <w:highlight w:val="yellow"/>
        </w:rPr>
      </w:pPr>
      <w:r w:rsidRPr="00AC3F27">
        <w:rPr>
          <w:rFonts w:asciiTheme="majorBidi" w:eastAsiaTheme="majorEastAsia" w:hAnsiTheme="majorBidi" w:cstheme="majorBidi"/>
          <w:b/>
          <w:bCs/>
          <w:spacing w:val="-2"/>
          <w:highlight w:val="yellow"/>
        </w:rPr>
        <w:t xml:space="preserve">Background: </w:t>
      </w:r>
      <w:r w:rsidRPr="00AC3F27">
        <w:rPr>
          <w:rFonts w:asciiTheme="majorBidi" w:eastAsiaTheme="majorEastAsia" w:hAnsiTheme="majorBidi" w:cstheme="majorBidi"/>
          <w:spacing w:val="-2"/>
          <w:highlight w:val="yellow"/>
        </w:rPr>
        <w:t>Oral squamous cell carcinoma (OSCC) is the most common malignancy of the oral cavity and a persistent public health concern. Although data exist from several regions of Iran, epidemiological evidence from the Southeast, particularly Zahedan, is scarce.</w:t>
      </w:r>
    </w:p>
    <w:p w14:paraId="584E0EB1" w14:textId="77777777" w:rsidR="00853B1D" w:rsidRPr="00AC3F27" w:rsidRDefault="00853B1D" w:rsidP="00853B1D">
      <w:pPr>
        <w:spacing w:after="0" w:line="460" w:lineRule="atLeast"/>
        <w:jc w:val="both"/>
        <w:rPr>
          <w:rFonts w:asciiTheme="majorBidi" w:eastAsiaTheme="majorEastAsia" w:hAnsiTheme="majorBidi" w:cstheme="majorBidi"/>
          <w:spacing w:val="-2"/>
          <w:highlight w:val="yellow"/>
        </w:rPr>
      </w:pPr>
      <w:r w:rsidRPr="00AC3F27">
        <w:rPr>
          <w:rFonts w:asciiTheme="majorBidi" w:eastAsiaTheme="majorEastAsia" w:hAnsiTheme="majorBidi" w:cstheme="majorBidi"/>
          <w:b/>
          <w:bCs/>
          <w:spacing w:val="-2"/>
          <w:highlight w:val="yellow"/>
        </w:rPr>
        <w:t xml:space="preserve">Methods: </w:t>
      </w:r>
      <w:r w:rsidRPr="00AC3F27">
        <w:rPr>
          <w:rFonts w:asciiTheme="majorBidi" w:eastAsiaTheme="majorEastAsia" w:hAnsiTheme="majorBidi" w:cstheme="majorBidi"/>
          <w:spacing w:val="-2"/>
          <w:highlight w:val="yellow"/>
        </w:rPr>
        <w:t xml:space="preserve">This cross-sectional study included all </w:t>
      </w:r>
      <w:proofErr w:type="spellStart"/>
      <w:r w:rsidRPr="00AC3F27">
        <w:rPr>
          <w:rFonts w:asciiTheme="majorBidi" w:eastAsiaTheme="majorEastAsia" w:hAnsiTheme="majorBidi" w:cstheme="majorBidi"/>
          <w:spacing w:val="-2"/>
          <w:highlight w:val="yellow"/>
        </w:rPr>
        <w:t>histopathologically</w:t>
      </w:r>
      <w:proofErr w:type="spellEnd"/>
      <w:r w:rsidRPr="00AC3F27">
        <w:rPr>
          <w:rFonts w:asciiTheme="majorBidi" w:eastAsiaTheme="majorEastAsia" w:hAnsiTheme="majorBidi" w:cstheme="majorBidi"/>
          <w:spacing w:val="-2"/>
          <w:highlight w:val="yellow"/>
        </w:rPr>
        <w:t xml:space="preserve"> confirmed OSCC cases diagnosed at the Zahedan School of Dentistry between January 2021 and December 2023 (n = 63). Demographic, clinical, and behavioral information (cigarette, hookah, smokeless tobacco/snuff, and opium use) was collected from clinical records and structured interviews. Categorical variables were compared using Chi-square or Fisher’s exact tests, as appropriate. All tests were two-tailed with α = 0.05.</w:t>
      </w:r>
    </w:p>
    <w:p w14:paraId="45968CD8" w14:textId="77777777" w:rsidR="00853B1D" w:rsidRPr="00AC3F27" w:rsidRDefault="00853B1D" w:rsidP="00853B1D">
      <w:pPr>
        <w:spacing w:after="0" w:line="460" w:lineRule="atLeast"/>
        <w:jc w:val="both"/>
        <w:rPr>
          <w:rFonts w:asciiTheme="majorBidi" w:eastAsiaTheme="majorEastAsia" w:hAnsiTheme="majorBidi" w:cstheme="majorBidi"/>
          <w:b/>
          <w:bCs/>
          <w:spacing w:val="-2"/>
          <w:highlight w:val="yellow"/>
        </w:rPr>
      </w:pPr>
      <w:r w:rsidRPr="00AC3F27">
        <w:rPr>
          <w:rFonts w:asciiTheme="majorBidi" w:eastAsiaTheme="majorEastAsia" w:hAnsiTheme="majorBidi" w:cstheme="majorBidi"/>
          <w:b/>
          <w:bCs/>
          <w:spacing w:val="-2"/>
          <w:highlight w:val="yellow"/>
        </w:rPr>
        <w:t xml:space="preserve">Results: </w:t>
      </w:r>
      <w:r w:rsidRPr="00AC3F27">
        <w:rPr>
          <w:rFonts w:asciiTheme="majorBidi" w:eastAsiaTheme="majorEastAsia" w:hAnsiTheme="majorBidi" w:cstheme="majorBidi"/>
          <w:spacing w:val="-2"/>
          <w:highlight w:val="yellow"/>
        </w:rPr>
        <w:t>The mean age was 54.2 ± 12.9 years (range 36–85), and 54.0% were women. Most participants (81.0%) self-identified as Baloch, reflecting the catchment population. The floor of the mouth was the most frequent site (38.1%), followed by mandibular gingiva (28.6%) and tongue (12.7%). Reported exposures included snuff (67.3%), cigarettes (54.0%), hookah (54.0%), and opium (47.6%); categories were not mutually exclusive. At presentation, 79.4% of lesions measured more than 3 cm. Delays in seeking care beyond three months were more common among patients aged ≥ 50 years (P = 0.012) and smokers (P = 0.019). Pain as a presenting symptom was reported more often by women (P = 0.020) and patients under 50 years (P = 0.023).</w:t>
      </w:r>
    </w:p>
    <w:p w14:paraId="3BA60D91" w14:textId="77777777" w:rsidR="00853B1D" w:rsidRPr="00C74F6D" w:rsidRDefault="00853B1D" w:rsidP="00853B1D">
      <w:pPr>
        <w:spacing w:after="0" w:line="460" w:lineRule="atLeast"/>
        <w:jc w:val="both"/>
        <w:rPr>
          <w:rFonts w:asciiTheme="majorBidi" w:eastAsiaTheme="majorEastAsia" w:hAnsiTheme="majorBidi" w:cstheme="majorBidi"/>
          <w:b/>
          <w:bCs/>
          <w:spacing w:val="-2"/>
        </w:rPr>
      </w:pPr>
      <w:r w:rsidRPr="00AC3F27">
        <w:rPr>
          <w:rFonts w:asciiTheme="majorBidi" w:eastAsiaTheme="majorEastAsia" w:hAnsiTheme="majorBidi" w:cstheme="majorBidi"/>
          <w:b/>
          <w:bCs/>
          <w:spacing w:val="-2"/>
          <w:highlight w:val="yellow"/>
        </w:rPr>
        <w:t xml:space="preserve">Conclusions: </w:t>
      </w:r>
      <w:r w:rsidRPr="00AC3F27">
        <w:rPr>
          <w:rFonts w:asciiTheme="majorBidi" w:eastAsiaTheme="majorEastAsia" w:hAnsiTheme="majorBidi" w:cstheme="majorBidi"/>
          <w:spacing w:val="-2"/>
          <w:highlight w:val="yellow"/>
        </w:rPr>
        <w:t>In Southeast Iran, OSCC frequently presented with large lesions, floor-of-mouth predominance, and high rates of self-reported smokeless tobacco use. These descriptive findings underscore the need for early detection, culturally tailored cessation programs, and public education. Causal inferences cannot be drawn</w:t>
      </w:r>
    </w:p>
    <w:p w14:paraId="6C633802" w14:textId="77777777" w:rsidR="00853B1D" w:rsidRPr="00C74F6D" w:rsidRDefault="00853B1D" w:rsidP="00853B1D">
      <w:pPr>
        <w:spacing w:after="0" w:line="460" w:lineRule="atLeast"/>
        <w:jc w:val="both"/>
        <w:rPr>
          <w:rFonts w:asciiTheme="majorBidi" w:hAnsiTheme="majorBidi" w:cstheme="majorBidi"/>
          <w:spacing w:val="-2"/>
        </w:rPr>
      </w:pPr>
      <w:r w:rsidRPr="00C74F6D">
        <w:rPr>
          <w:rStyle w:val="Heading2Char"/>
          <w:rFonts w:asciiTheme="majorBidi" w:hAnsiTheme="majorBidi"/>
          <w:b/>
          <w:bCs/>
          <w:color w:val="auto"/>
          <w:spacing w:val="-2"/>
          <w:sz w:val="24"/>
          <w:szCs w:val="24"/>
        </w:rPr>
        <w:t>Key words</w:t>
      </w:r>
      <w:r w:rsidRPr="00C74F6D">
        <w:rPr>
          <w:rFonts w:asciiTheme="majorBidi" w:hAnsiTheme="majorBidi" w:cstheme="majorBidi"/>
          <w:b/>
          <w:bCs/>
          <w:spacing w:val="-2"/>
        </w:rPr>
        <w:t>:</w:t>
      </w:r>
      <w:r w:rsidRPr="00C74F6D">
        <w:rPr>
          <w:rFonts w:asciiTheme="majorBidi" w:hAnsiTheme="majorBidi" w:cstheme="majorBidi"/>
          <w:spacing w:val="-2"/>
        </w:rPr>
        <w:t xml:space="preserve"> Epidemiology, Squamous cell carcinoma of head and neck, Risk factors, Tobacco use cessation</w:t>
      </w:r>
    </w:p>
    <w:p w14:paraId="356897BE" w14:textId="77777777" w:rsidR="00853B1D" w:rsidRPr="00C74F6D" w:rsidRDefault="00853B1D" w:rsidP="00853B1D">
      <w:pPr>
        <w:pStyle w:val="Heading1"/>
        <w:spacing w:before="0" w:after="0" w:line="460" w:lineRule="atLeast"/>
        <w:jc w:val="both"/>
        <w:rPr>
          <w:rFonts w:asciiTheme="majorBidi" w:hAnsiTheme="majorBidi"/>
          <w:b/>
          <w:bCs/>
          <w:color w:val="auto"/>
          <w:spacing w:val="-2"/>
          <w:sz w:val="24"/>
          <w:szCs w:val="24"/>
        </w:rPr>
      </w:pPr>
      <w:r w:rsidRPr="00C74F6D">
        <w:rPr>
          <w:rFonts w:asciiTheme="majorBidi" w:hAnsiTheme="majorBidi"/>
          <w:b/>
          <w:bCs/>
          <w:color w:val="auto"/>
          <w:spacing w:val="-2"/>
          <w:sz w:val="24"/>
          <w:szCs w:val="24"/>
        </w:rPr>
        <w:lastRenderedPageBreak/>
        <w:t>Introduction</w:t>
      </w:r>
    </w:p>
    <w:p w14:paraId="089226F9" w14:textId="77777777" w:rsidR="00853B1D" w:rsidRPr="00AC3F27" w:rsidRDefault="00853B1D" w:rsidP="00853B1D">
      <w:pPr>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 xml:space="preserve">OSCC, which is over 90% of the oral malignancy, is continuing to be a significant global health challenge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&lt;EndNote&gt;&lt;Cite&gt;&lt;Author&gt;Badwelan&lt;/Author&gt;&lt;Year&gt;2023&lt;/Year&gt;&lt;RecNum&gt;23&lt;/RecNum&gt;&lt;DisplayText&gt;(1)&lt;/DisplayText&gt;&lt;record&gt;&lt;rec-number&gt;23&lt;/rec-number&gt;&lt;foreign-keys&gt;&lt;key app="EN" db-id="dsdvv599a9s2rpezxfivda2nr0dfd50v9vpf" timestamp="1757607293"&gt;23&lt;/key&gt;&lt;/foreign-keys&gt;&lt;ref-type name="Journal Article"&gt;17&lt;/ref-type&gt;&lt;contributors&gt;&lt;authors&gt;&lt;author&gt;Badwelan, M.&lt;/author&gt;&lt;author&gt;Muaddi, H.&lt;/author&gt;&lt;author&gt;Ahmed, A.&lt;/author&gt;&lt;author&gt;Lee, K. T.&lt;/author&gt;&lt;author&gt;Tran, S. D.&lt;/author&gt;&lt;/authors&gt;&lt;/contributors&gt;&lt;auth-address&gt;Faculty of Dental Medicine and Oral Health Sciences, McGill University, Montreal, QC H3A 0G4, Canada.&amp;#xD;Department of Oral and Maxillofacial Surgery, King Khalid University, Abha 61421, Saudi Arabia.&lt;/auth-address&gt;&lt;titles&gt;&lt;title&gt;Oral Squamous Cell Carcinoma and Concomitant Primary Tumors, What Do We Know? A Review of the Literature&lt;/title&gt;&lt;secondary-title&gt;Curr Oncol&lt;/secondary-title&gt;&lt;/titles&gt;&lt;periodical&gt;&lt;full-title&gt;Curr Oncol&lt;/full-title&gt;&lt;/periodical&gt;&lt;pages&gt;3721-3734&lt;/pages&gt;&lt;volume&gt;30&lt;/volume&gt;&lt;number&gt;4&lt;/number&gt;&lt;edition&gt;20230327&lt;/edition&gt;&lt;keywords&gt;&lt;keyword&gt;Humans&lt;/keyword&gt;&lt;keyword&gt;*Carcinoma, Squamous Cell/pathology&lt;/keyword&gt;&lt;keyword&gt;Squamous Cell Carcinoma of Head and Neck/therapy&lt;/keyword&gt;&lt;keyword&gt;*Mouth Neoplasms/therapy/pathology&lt;/keyword&gt;&lt;keyword&gt;*Head and Neck Neoplasms&lt;/keyword&gt;&lt;keyword&gt;*Neoplasms, Second Primary&lt;/keyword&gt;&lt;keyword&gt;metachronous&lt;/keyword&gt;&lt;keyword&gt;multiple primary cancers&lt;/keyword&gt;&lt;keyword&gt;oral squamous cell carcinoma&lt;/keyword&gt;&lt;keyword&gt;second primary tumor&lt;/keyword&gt;&lt;keyword&gt;synchronous&lt;/keyword&gt;&lt;/keywords&gt;&lt;dates&gt;&lt;year&gt;2023&lt;/year&gt;&lt;pub-dates&gt;&lt;date&gt;Mar 27&lt;/date&gt;&lt;/pub-dates&gt;&lt;/dates&gt;&lt;isbn&gt;1198-0052 (Print)&amp;#xD;1198-0052&lt;/isbn&gt;&lt;accession-num&gt;37185396&lt;/accession-num&gt;&lt;urls&gt;&lt;/urls&gt;&lt;custom1&gt;The authors declare no conflict of interest.&lt;/custom1&gt;&lt;custom2&gt;PMC10136780&lt;/custom2&gt;&lt;electronic-resource-num&gt;10.3390/curroncol30040283&lt;/electronic-resource-num&gt;&lt;remote-database-provider&gt;NLM&lt;/remote-database-provider&gt;&lt;language&gt;eng&lt;/language&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It is the 11lth most frequent cancer in men and the 16th in women, representing about 27,000 new cases and 5,500 deaths each year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&lt;EndNote&gt;&lt;Cite&gt;&lt;Author&gt;Neville&lt;/Author&gt;&lt;Year&gt;2015&lt;/Year&gt;&lt;RecNum&gt;10&lt;/RecNum&gt;&lt;DisplayText&gt;(2)&lt;/DisplayText&gt;&lt;record&gt;&lt;rec-number&gt;10&lt;/rec-number&gt;&lt;foreign-keys&gt;&lt;key app="EN" db-id="dsdvv599a9s2rpezxfivda2nr0dfd50v9vpf" timestamp="1757606383"&gt;10&lt;/key&gt;&lt;/foreign-keys&gt;&lt;ref-type name="Book"&gt;6&lt;/ref-type&gt;&lt;contributors&gt;&lt;authors&gt;&lt;author&gt;Neville, Brad W&lt;/author&gt;&lt;author&gt;Damm, Douglas D&lt;/author&gt;&lt;author&gt;Allen, Carl M&lt;/author&gt;&lt;author&gt;Chi, Angela C&lt;/author&gt;&lt;/authors&gt;&lt;/contributors&gt;&lt;titles&gt;&lt;title&gt;Oral and maxillofacial pathology&lt;/title&gt;&lt;/titles&gt;&lt;dates&gt;&lt;year&gt;2015&lt;/year&gt;&lt;/dates&gt;&lt;publisher&gt;Elsevier Health Sciences&lt;/publisher&gt;&lt;isbn&gt;1455770523&lt;/isbn&gt;&lt;urls&gt;&lt;/urls&gt;&lt;/record&gt;&lt;/Cite&gt;&lt;/EndNote&gt;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(2)</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Well-established risk factors include tobacco in various forms—such as betel quid, pan masala, gutka, and smokeless tobacco—as well as cigarette smoking, alcohol, viral infections, and immunosuppression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&lt;EndNote&gt;&lt;Cite&gt;&lt;Author&gt;Glick&lt;/Author&gt;&lt;Year&gt;2021&lt;/Year&gt;&lt;RecNum&gt;2&lt;/RecNum&gt;&lt;DisplayText&gt;(3, 4)&lt;/DisplayText&gt;&lt;record&gt;&lt;rec-number&gt;2&lt;/rec-number&gt;&lt;foreign-keys&gt;&lt;key app="EN" db-id="dsdvv599a9s2rpezxfivda2nr0dfd50v9vpf" timestamp="1757606239"&gt;2&lt;/key&gt;&lt;/foreign-keys&gt;&lt;ref-type name="Journal Article"&gt;17&lt;/ref-type&gt;&lt;contributors&gt;&lt;authors&gt;&lt;author&gt;Glick, Michael&lt;/author&gt;&lt;author&gt;Greenberg, Martin S&lt;/author&gt;&lt;author&gt;Lockhart, Peter B&lt;/author&gt;&lt;author&gt;Challacombe, Stephen J&lt;/author&gt;&lt;/authors&gt;&lt;/contributors&gt;&lt;titles&gt;&lt;title&gt;Introduction to oral medicine and oral diagnosis: patient evaluation&lt;/title&gt;&lt;secondary-title&gt;Burket&amp;apos;s Oral Medicine&lt;/secondary-title&gt;&lt;/titles&gt;&lt;periodical&gt;&lt;full-title&gt;Burket&amp;apos;s Oral Medicine&lt;/full-title&gt;&lt;/periodical&gt;&lt;pages&gt;1-18&lt;/pages&gt;&lt;dates&gt;&lt;year&gt;2021&lt;/year&gt;&lt;/dates&gt;&lt;urls&gt;&lt;/urls&gt;&lt;/record&gt;&lt;/Cite&gt;&lt;Cite&gt;&lt;Author&gt;Dalirsani&lt;/Author&gt;&lt;Year&gt;2025&lt;/Year&gt;&lt;RecNum&gt;3&lt;/RecNum&gt;&lt;record&gt;&lt;rec-number&gt;3&lt;/rec-number&gt;&lt;foreign-keys&gt;&lt;key app="EN" db-id="dsdvv599a9s2rpezxfivda2nr0dfd50v9vpf" timestamp="1757606303"&gt;3&lt;/key&gt;&lt;/foreign-keys&gt;&lt;ref-type name="Journal Article"&gt;17&lt;/ref-type&gt;&lt;contributors&gt;&lt;authors&gt;&lt;author&gt;Dalirsani, Zohreh&lt;/author&gt;&lt;author&gt;Ghazi, Ala&lt;/author&gt;&lt;author&gt;Pakfetrat, Atessa&lt;/author&gt;&lt;author&gt;Jamali, Jamshid&lt;/author&gt;&lt;author&gt;Foroughi, Zeinab&lt;/author&gt;&lt;author&gt;Mirzaei, Mohammad&lt;/author&gt;&lt;/authors&gt;&lt;/contributors&gt;&lt;titles&gt;&lt;title&gt;The relationship between smokeless tobacco and the incidence of oral cancer: a systematic review study&lt;/title&gt;&lt;secondary-title&gt;Addiction &amp;amp; Health&lt;/secondary-title&gt;&lt;/titles&gt;&lt;periodical&gt;&lt;full-title&gt;Addiction &amp;amp; Health&lt;/full-title&gt;&lt;/periodical&gt;&lt;pages&gt;1-15&lt;/pages&gt;&lt;volume&gt;17&lt;/volume&gt;&lt;number&gt;1&lt;/number&gt;&lt;dates&gt;&lt;year&gt;2025&lt;/year&gt;&lt;/dates&gt;&lt;isbn&gt;2008-8469&lt;/isbn&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(3, 4)</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In many Asian regions, particularly India and Taiwan, the high prevalence of smokeless tobacco use has been directly linked to increased OSCC burden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&lt;EndNote&gt;&lt;Cite&gt;&lt;Author&gt;Glick&lt;/Author&gt;&lt;Year&gt;2021&lt;/Year&gt;&lt;RecNum&gt;2&lt;/RecNum&gt;&lt;DisplayText&gt;(3)&lt;/DisplayText&gt;&lt;record&gt;&lt;rec-number&gt;2&lt;/rec-number&gt;&lt;foreign-keys&gt;&lt;key app="EN" db-id="dsdvv599a9s2rpezxfivda2nr0dfd50v9vpf" timestamp="1757606239"&gt;2&lt;/key&gt;&lt;/foreign-keys&gt;&lt;ref-type name="Journal Article"&gt;17&lt;/ref-type&gt;&lt;contributors&gt;&lt;authors&gt;&lt;author&gt;Glick, Michael&lt;/author&gt;&lt;author&gt;Greenberg, Martin S&lt;/author&gt;&lt;author&gt;Lockhart, Peter B&lt;/author&gt;&lt;author&gt;Challacombe, Stephen J&lt;/author&gt;&lt;/authors&gt;&lt;/contributors&gt;&lt;titles&gt;&lt;title&gt;Introduction to oral medicine and oral diagnosis: patient evaluation&lt;/title&gt;&lt;secondary-title&gt;Burket&amp;apos;s Oral Medicine&lt;/secondary-title&gt;&lt;/titles&gt;&lt;periodical&gt;&lt;full-title&gt;Burket&amp;apos;s Oral Medicine&lt;/full-title&gt;&lt;/periodical&gt;&lt;pages&gt;1-18&lt;/pages&gt;&lt;dates&gt;&lt;year&gt;2021&lt;/year&gt;&lt;/dates&gt;&lt;urls&gt;&lt;/urls&gt;&lt;/record&gt;&lt;/Cite&gt;&lt;/EndNote&gt;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(3)</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w:t>
      </w:r>
    </w:p>
    <w:p w14:paraId="69EDD4DA" w14:textId="77777777" w:rsidR="00853B1D" w:rsidRPr="00AC3F27" w:rsidRDefault="00853B1D" w:rsidP="00853B1D">
      <w:pPr>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 xml:space="preserve">Clinical presentation of OSCC is variable, ranging from leukoplakia and </w:t>
      </w:r>
      <w:proofErr w:type="spellStart"/>
      <w:r w:rsidRPr="00AC3F27">
        <w:rPr>
          <w:rFonts w:asciiTheme="majorBidi" w:hAnsiTheme="majorBidi" w:cstheme="majorBidi"/>
          <w:spacing w:val="-2"/>
          <w:highlight w:val="yellow"/>
        </w:rPr>
        <w:t>erythroplakia</w:t>
      </w:r>
      <w:proofErr w:type="spellEnd"/>
      <w:r w:rsidRPr="00AC3F27">
        <w:rPr>
          <w:rFonts w:asciiTheme="majorBidi" w:hAnsiTheme="majorBidi" w:cstheme="majorBidi"/>
          <w:spacing w:val="-2"/>
          <w:highlight w:val="yellow"/>
        </w:rPr>
        <w:t xml:space="preserve"> to ulcerated or exophytic masses with irregular borders </w:t>
      </w:r>
      <w:r w:rsidRPr="00AC3F27">
        <w:rPr>
          <w:rFonts w:asciiTheme="majorBidi" w:hAnsiTheme="majorBidi" w:cstheme="majorBidi"/>
          <w:spacing w:val="-2"/>
          <w:highlight w:val="yellow"/>
        </w:rPr>
        <w:fldChar w:fldCharType="begin">
          <w:fldData xml:space="preserve">PEVuZE5vdGU+PENpdGU+PEF1dGhvcj5LYXdjemFrPC9BdXRob3I+PFJlY051bT40PC9SZWNOdW0+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</w:fldData>
        </w:fldChar>
      </w:r>
      <w:r w:rsidRPr="00AC3F27">
        <w:rPr>
          <w:rFonts w:asciiTheme="majorBidi" w:hAnsiTheme="majorBidi" w:cstheme="majorBidi"/>
          <w:spacing w:val="-2"/>
          <w:highlight w:val="yellow"/>
        </w:rPr>
        <w:instrText xml:space="preserve"> ADDIN EN.CITE </w:instrText>
      </w:r>
      <w:r w:rsidRPr="00AC3F27">
        <w:rPr>
          <w:rFonts w:asciiTheme="majorBidi" w:hAnsiTheme="majorBidi" w:cstheme="majorBidi"/>
          <w:spacing w:val="-2"/>
          <w:highlight w:val="yellow"/>
        </w:rPr>
        <w:fldChar w:fldCharType="begin">
          <w:fldData xml:space="preserve">PEVuZE5vdGU+PENpdGU+PEF1dGhvcj5LYXdjemFrPC9BdXRob3I+PFJlY051bT40PC9SZWNOdW0+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</w:fldData>
        </w:fldChar>
      </w:r>
      <w:r w:rsidRPr="00AC3F27">
        <w:rPr>
          <w:rFonts w:asciiTheme="majorBidi" w:hAnsiTheme="majorBidi" w:cstheme="majorBidi"/>
          <w:spacing w:val="-2"/>
          <w:highlight w:val="yellow"/>
        </w:rPr>
        <w:instrText xml:space="preserve"> ADDIN EN.CITE.DATA </w:instrText>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(5-7)</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Common intraoral sites at risk include the lower lip, floor of mouth, and lateral tongue borders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&lt;EndNote&gt;&lt;Cite&gt;&lt;Author&gt;Glick&lt;/Author&gt;&lt;Year&gt;2021&lt;/Year&gt;&lt;RecNum&gt;2&lt;/RecNum&gt;&lt;DisplayText&gt;(3)&lt;/DisplayText&gt;&lt;record&gt;&lt;rec-number&gt;2&lt;/rec-number&gt;&lt;foreign-keys&gt;&lt;key app="EN" db-id="dsdvv599a9s2rpezxfivda2nr0dfd50v9vpf" timestamp="1757606239"&gt;2&lt;/key&gt;&lt;/foreign-keys&gt;&lt;ref-type name="Journal Article"&gt;17&lt;/ref-type&gt;&lt;contributors&gt;&lt;authors&gt;&lt;author&gt;Glick, Michael&lt;/author&gt;&lt;author&gt;Greenberg, Martin S&lt;/author&gt;&lt;author&gt;Lockhart, Peter B&lt;/author&gt;&lt;author&gt;Challacombe, Stephen J&lt;/author&gt;&lt;/authors&gt;&lt;/contributors&gt;&lt;titles&gt;&lt;title&gt;Introduction to oral medicine and oral diagnosis: patient evaluation&lt;/title&gt;&lt;secondary-title&gt;Burket&amp;apos;s Oral Medicine&lt;/secondary-title&gt;&lt;/titles&gt;&lt;periodical&gt;&lt;full-title&gt;Burket&amp;apos;s Oral Medicine&lt;/full-title&gt;&lt;/periodical&gt;&lt;pages&gt;1-18&lt;/pages&gt;&lt;dates&gt;&lt;year&gt;2021&lt;/year&gt;&lt;/dates&gt;&lt;urls&gt;&lt;/urls&gt;&lt;/record&gt;&lt;/Cite&gt;&lt;/EndNote&gt;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(3)</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Although histopathological confirmation through biopsy is essential for diagnosis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&lt;EndNote&gt;&lt;Cite&gt;&lt;Author&gt;Wong&lt;/Author&gt;&lt;Year&gt;2018&lt;/Year&gt;&lt;RecNum&gt;1&lt;/RecNum&gt;&lt;DisplayText&gt;(8)&lt;/DisplayText&gt;&lt;record&gt;&lt;rec-number&gt;1&lt;/rec-number&gt;&lt;foreign-keys&gt;&lt;key app="EN" db-id="dsdvv599a9s2rpezxfivda2nr0dfd50v9vpf" timestamp="1757606231"&gt;1&lt;/key&gt;&lt;/foreign-keys&gt;&lt;ref-type name="Journal Article"&gt;17&lt;/ref-type&gt;&lt;contributors&gt;&lt;authors&gt;&lt;author&gt;Wong, TSC&lt;/author&gt;&lt;author&gt;Wiesenfeld, D&lt;/author&gt;&lt;/authors&gt;&lt;/contributors&gt;&lt;titles&gt;&lt;title&gt;Oral cancer&lt;/title&gt;&lt;secondary-title&gt;Australian dental journal&lt;/secondary-title&gt;&lt;/titles&gt;&lt;periodical&gt;&lt;full-title&gt;Australian dental journal&lt;/full-title&gt;&lt;/periodical&gt;&lt;pages&gt;S91-S99&lt;/pages&gt;&lt;volume&gt;63&lt;/volume&gt;&lt;dates&gt;&lt;year&gt;2018&lt;/year&gt;&lt;/dates&gt;&lt;isbn&gt;0045-0421&lt;/isbn&gt;&lt;urls&gt;&lt;/urls&gt;&lt;/record&gt;&lt;/Cite&gt;&lt;/EndNote&gt;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(8)</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patients frequently present at advanced stages when treatment requires multimodal approaches and prognosis is poor </w:t>
      </w:r>
      <w:r w:rsidRPr="00AC3F27">
        <w:rPr>
          <w:rFonts w:asciiTheme="majorBidi" w:hAnsiTheme="majorBidi" w:cstheme="majorBidi"/>
          <w:spacing w:val="-2"/>
          <w:highlight w:val="yellow"/>
        </w:rPr>
        <w:fldChar w:fldCharType="begin">
          <w:fldData xml:space="preserve">PEVuZE5vdGU+PENpdGU+PEF1dGhvcj5LaWpvd3NrYTwvQXV0aG9yPjxZZWFyPjIwMjQ8L1llYXI+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</w:fldData>
        </w:fldChar>
      </w:r>
      <w:r w:rsidRPr="00AC3F27">
        <w:rPr>
          <w:rFonts w:asciiTheme="majorBidi" w:hAnsiTheme="majorBidi" w:cstheme="majorBidi"/>
          <w:spacing w:val="-2"/>
          <w:highlight w:val="yellow"/>
        </w:rPr>
        <w:instrText xml:space="preserve"> ADDIN EN.CITE </w:instrText>
      </w:r>
      <w:r w:rsidRPr="00AC3F27">
        <w:rPr>
          <w:rFonts w:asciiTheme="majorBidi" w:hAnsiTheme="majorBidi" w:cstheme="majorBidi"/>
          <w:spacing w:val="-2"/>
          <w:highlight w:val="yellow"/>
        </w:rPr>
        <w:fldChar w:fldCharType="begin">
          <w:fldData xml:space="preserve">PEVuZE5vdGU+PENpdGU+PEF1dGhvcj5LaWpvd3NrYTwvQXV0aG9yPjxZZWFyPjIwMjQ8L1llYXI+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</w:fldData>
        </w:fldChar>
      </w:r>
      <w:r w:rsidRPr="00AC3F27">
        <w:rPr>
          <w:rFonts w:asciiTheme="majorBidi" w:hAnsiTheme="majorBidi" w:cstheme="majorBidi"/>
          <w:spacing w:val="-2"/>
          <w:highlight w:val="yellow"/>
        </w:rPr>
        <w:instrText xml:space="preserve"> ADDIN EN.CITE.DATA </w:instrText>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(6, 9-11)</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w:t>
      </w:r>
    </w:p>
    <w:p w14:paraId="640BAA73" w14:textId="77777777" w:rsidR="00853B1D" w:rsidRPr="00AC3F27" w:rsidRDefault="00853B1D" w:rsidP="00853B1D">
      <w:pPr>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 xml:space="preserve">Although some national studies are conducted, there is a paucity of epidemiological studies in Southeast Iran. Zahedan, the capital city of </w:t>
      </w:r>
      <w:proofErr w:type="spellStart"/>
      <w:r w:rsidRPr="00AC3F27">
        <w:rPr>
          <w:rFonts w:asciiTheme="majorBidi" w:hAnsiTheme="majorBidi" w:cstheme="majorBidi"/>
          <w:spacing w:val="-2"/>
          <w:highlight w:val="yellow"/>
        </w:rPr>
        <w:t>Sistan</w:t>
      </w:r>
      <w:proofErr w:type="spellEnd"/>
      <w:r w:rsidRPr="00AC3F27">
        <w:rPr>
          <w:rFonts w:asciiTheme="majorBidi" w:hAnsiTheme="majorBidi" w:cstheme="majorBidi"/>
          <w:spacing w:val="-2"/>
          <w:highlight w:val="yellow"/>
        </w:rPr>
        <w:t xml:space="preserve"> and </w:t>
      </w:r>
      <w:proofErr w:type="spellStart"/>
      <w:r w:rsidRPr="00AC3F27">
        <w:rPr>
          <w:rFonts w:asciiTheme="majorBidi" w:hAnsiTheme="majorBidi" w:cstheme="majorBidi"/>
          <w:spacing w:val="-2"/>
          <w:highlight w:val="yellow"/>
        </w:rPr>
        <w:t>Baluchestan</w:t>
      </w:r>
      <w:proofErr w:type="spellEnd"/>
      <w:r w:rsidRPr="00AC3F27">
        <w:rPr>
          <w:rFonts w:asciiTheme="majorBidi" w:hAnsiTheme="majorBidi" w:cstheme="majorBidi"/>
          <w:spacing w:val="-2"/>
          <w:highlight w:val="yellow"/>
        </w:rPr>
        <w:t xml:space="preserve"> Province, is a deprived area with high prevalence of SLT and opium consumption and with possible poor access to health care. It is important to describe the demography and </w:t>
      </w:r>
      <w:proofErr w:type="spellStart"/>
      <w:r w:rsidRPr="00AC3F27">
        <w:rPr>
          <w:rFonts w:asciiTheme="majorBidi" w:hAnsiTheme="majorBidi" w:cstheme="majorBidi"/>
          <w:spacing w:val="-2"/>
          <w:highlight w:val="yellow"/>
        </w:rPr>
        <w:t>behavioural</w:t>
      </w:r>
      <w:proofErr w:type="spellEnd"/>
      <w:r w:rsidRPr="00AC3F27">
        <w:rPr>
          <w:rFonts w:asciiTheme="majorBidi" w:hAnsiTheme="majorBidi" w:cstheme="majorBidi"/>
          <w:spacing w:val="-2"/>
          <w:highlight w:val="yellow"/>
        </w:rPr>
        <w:t xml:space="preserve"> profile of OSCC patients in this setting in order to plan for appropriate screening and preventive strategies.</w:t>
      </w:r>
    </w:p>
    <w:p w14:paraId="2E96F643" w14:textId="77777777" w:rsidR="00853B1D" w:rsidRPr="00C74F6D" w:rsidRDefault="00853B1D" w:rsidP="00853B1D">
      <w:pPr>
        <w:spacing w:after="0" w:line="460" w:lineRule="atLeast"/>
        <w:jc w:val="both"/>
        <w:rPr>
          <w:rFonts w:asciiTheme="majorBidi" w:hAnsiTheme="majorBidi" w:cstheme="majorBidi"/>
          <w:spacing w:val="-2"/>
        </w:rPr>
      </w:pPr>
      <w:r w:rsidRPr="00AC3F27">
        <w:rPr>
          <w:rFonts w:asciiTheme="majorBidi" w:hAnsiTheme="majorBidi" w:cstheme="majorBidi"/>
          <w:spacing w:val="-2"/>
          <w:highlight w:val="yellow"/>
        </w:rPr>
        <w:t xml:space="preserve">This study aimed to characterize demographic, clinical and behavioral characteristics in cases of OSCC with </w:t>
      </w:r>
      <w:proofErr w:type="spellStart"/>
      <w:r w:rsidRPr="00AC3F27">
        <w:rPr>
          <w:rFonts w:asciiTheme="majorBidi" w:hAnsiTheme="majorBidi" w:cstheme="majorBidi"/>
          <w:spacing w:val="-2"/>
          <w:highlight w:val="yellow"/>
        </w:rPr>
        <w:t>histopathologically</w:t>
      </w:r>
      <w:proofErr w:type="spellEnd"/>
      <w:r w:rsidRPr="00AC3F27">
        <w:rPr>
          <w:rFonts w:asciiTheme="majorBidi" w:hAnsiTheme="majorBidi" w:cstheme="majorBidi"/>
          <w:spacing w:val="-2"/>
          <w:highlight w:val="yellow"/>
        </w:rPr>
        <w:t>-confirmed diagnosis that were diagnosed between 2021 and 2023 in Zahedan, and to investigate simple associations of the variables (age, sex and reported habits) with the clinical photo profile.</w:t>
      </w:r>
    </w:p>
    <w:p w14:paraId="7072452C" w14:textId="77777777" w:rsidR="00853B1D" w:rsidRPr="00C74F6D" w:rsidRDefault="00853B1D" w:rsidP="00853B1D">
      <w:pPr>
        <w:spacing w:after="0" w:line="460" w:lineRule="atLeast"/>
        <w:jc w:val="both"/>
        <w:rPr>
          <w:rFonts w:asciiTheme="majorBidi" w:hAnsiTheme="majorBidi" w:cstheme="majorBidi"/>
          <w:spacing w:val="-2"/>
        </w:rPr>
      </w:pPr>
    </w:p>
    <w:p w14:paraId="6AD4AB35" w14:textId="77777777" w:rsidR="00853B1D" w:rsidRPr="00C74F6D" w:rsidRDefault="00853B1D" w:rsidP="00853B1D">
      <w:pPr>
        <w:pStyle w:val="Heading1"/>
        <w:spacing w:before="0" w:after="0" w:line="460" w:lineRule="atLeast"/>
        <w:jc w:val="both"/>
        <w:rPr>
          <w:rFonts w:asciiTheme="majorBidi" w:hAnsiTheme="majorBidi"/>
          <w:b/>
          <w:bCs/>
          <w:color w:val="auto"/>
          <w:spacing w:val="-2"/>
          <w:sz w:val="24"/>
          <w:szCs w:val="24"/>
        </w:rPr>
      </w:pPr>
      <w:r w:rsidRPr="00C74F6D">
        <w:rPr>
          <w:rFonts w:asciiTheme="majorBidi" w:hAnsiTheme="majorBidi"/>
          <w:b/>
          <w:bCs/>
          <w:color w:val="auto"/>
          <w:spacing w:val="-2"/>
          <w:sz w:val="24"/>
          <w:szCs w:val="24"/>
        </w:rPr>
        <w:t>Materials and method</w:t>
      </w:r>
    </w:p>
    <w:p w14:paraId="7BB904C4" w14:textId="77777777" w:rsidR="00853B1D" w:rsidRPr="00C74F6D" w:rsidRDefault="00853B1D" w:rsidP="00853B1D">
      <w:pPr>
        <w:spacing w:after="0" w:line="460" w:lineRule="atLeast"/>
        <w:jc w:val="both"/>
        <w:rPr>
          <w:rFonts w:asciiTheme="majorBidi" w:hAnsiTheme="majorBidi" w:cstheme="majorBidi"/>
          <w:spacing w:val="-2"/>
        </w:rPr>
      </w:pPr>
      <w:r w:rsidRPr="00C74F6D">
        <w:rPr>
          <w:rFonts w:asciiTheme="majorBidi" w:hAnsiTheme="majorBidi" w:cstheme="majorBidi"/>
          <w:spacing w:val="-2"/>
        </w:rPr>
        <w:t xml:space="preserve">This is a cross-sectional study that was conducted between 2021 </w:t>
      </w:r>
      <w:r>
        <w:rPr>
          <w:rFonts w:asciiTheme="majorBidi" w:hAnsiTheme="majorBidi" w:cstheme="majorBidi"/>
          <w:spacing w:val="-2"/>
        </w:rPr>
        <w:t>and</w:t>
      </w:r>
      <w:r w:rsidRPr="00C74F6D">
        <w:rPr>
          <w:rFonts w:asciiTheme="majorBidi" w:hAnsiTheme="majorBidi" w:cstheme="majorBidi"/>
          <w:spacing w:val="-2"/>
        </w:rPr>
        <w:t xml:space="preserve"> 2023. The study population was patients with oral squamous cell carcinoma referred to the Dentistry School of Zahedan, Iran. Ethics approval was obtained from the University of Zahedan Research Ethics Board [IR.ZAUMS.REC.1400.100].</w:t>
      </w:r>
    </w:p>
    <w:p w14:paraId="03F8BE6E" w14:textId="77777777" w:rsidR="00853B1D" w:rsidRPr="00C74F6D" w:rsidRDefault="00853B1D" w:rsidP="00853B1D">
      <w:pPr>
        <w:pStyle w:val="Heading2"/>
        <w:spacing w:before="0" w:after="0" w:line="460" w:lineRule="atLeast"/>
        <w:jc w:val="both"/>
        <w:rPr>
          <w:rFonts w:asciiTheme="majorBidi" w:hAnsiTheme="majorBidi"/>
          <w:b/>
          <w:bCs/>
          <w:color w:val="auto"/>
          <w:spacing w:val="-2"/>
          <w:sz w:val="24"/>
          <w:szCs w:val="24"/>
        </w:rPr>
      </w:pPr>
      <w:r w:rsidRPr="00C74F6D">
        <w:rPr>
          <w:rFonts w:asciiTheme="majorBidi" w:hAnsiTheme="majorBidi"/>
          <w:b/>
          <w:bCs/>
          <w:color w:val="auto"/>
          <w:spacing w:val="-2"/>
          <w:sz w:val="24"/>
          <w:szCs w:val="24"/>
        </w:rPr>
        <w:lastRenderedPageBreak/>
        <w:t xml:space="preserve">Setting and Sampling </w:t>
      </w:r>
    </w:p>
    <w:p w14:paraId="78AE32BC" w14:textId="77777777" w:rsidR="00853B1D" w:rsidRPr="00C74F6D" w:rsidRDefault="00853B1D" w:rsidP="00853B1D">
      <w:pPr>
        <w:spacing w:after="0" w:line="460" w:lineRule="atLeast"/>
        <w:jc w:val="both"/>
        <w:rPr>
          <w:rFonts w:asciiTheme="majorBidi" w:hAnsiTheme="majorBidi" w:cstheme="majorBidi"/>
          <w:spacing w:val="-2"/>
        </w:rPr>
      </w:pPr>
      <w:r w:rsidRPr="00C74F6D">
        <w:rPr>
          <w:rFonts w:asciiTheme="majorBidi" w:hAnsiTheme="majorBidi" w:cstheme="majorBidi"/>
          <w:spacing w:val="-2"/>
        </w:rPr>
        <w:t xml:space="preserve">In this longitudinal study, 63 patients with a confirmed OSCC who applied to Zahedan Dental School from 2021 </w:t>
      </w:r>
      <w:r>
        <w:rPr>
          <w:rFonts w:asciiTheme="majorBidi" w:hAnsiTheme="majorBidi" w:cstheme="majorBidi"/>
          <w:spacing w:val="-2"/>
        </w:rPr>
        <w:t>and</w:t>
      </w:r>
      <w:r w:rsidRPr="00C74F6D">
        <w:rPr>
          <w:rFonts w:asciiTheme="majorBidi" w:hAnsiTheme="majorBidi" w:cstheme="majorBidi"/>
          <w:spacing w:val="-2"/>
        </w:rPr>
        <w:t xml:space="preserve"> 2023, were investigated as a census. We excluded patients with non-confirmed Histologic diagnosis or malignant nature of the lesion.</w:t>
      </w:r>
    </w:p>
    <w:p w14:paraId="4DDD6004" w14:textId="77777777" w:rsidR="00853B1D" w:rsidRPr="00C74F6D" w:rsidRDefault="00853B1D" w:rsidP="00853B1D">
      <w:pPr>
        <w:spacing w:after="0" w:line="460" w:lineRule="atLeast"/>
        <w:jc w:val="both"/>
        <w:rPr>
          <w:rFonts w:asciiTheme="majorBidi" w:hAnsiTheme="majorBidi" w:cstheme="majorBidi"/>
          <w:spacing w:val="-2"/>
        </w:rPr>
      </w:pPr>
      <w:r w:rsidRPr="00C74F6D">
        <w:rPr>
          <w:rFonts w:asciiTheme="majorBidi" w:hAnsiTheme="majorBidi" w:cstheme="majorBidi"/>
          <w:spacing w:val="-2"/>
        </w:rPr>
        <w:t xml:space="preserve">After patients suspected of oral malignant lesions came to the Dental School of Zahedan, the clinical examinations were performed by Oral Medicine Specialists or Oral and Maxillofacial surgeons. Also, a definite diagnosis was made by Histologic analyses at the Oral and Maxillofacial Pathology Department of the Zahedan Dentistry School. </w:t>
      </w:r>
    </w:p>
    <w:p w14:paraId="40B94DE6" w14:textId="77777777" w:rsidR="00853B1D" w:rsidRPr="00C74F6D" w:rsidRDefault="00853B1D" w:rsidP="00853B1D">
      <w:pPr>
        <w:spacing w:after="0" w:line="460" w:lineRule="atLeast"/>
        <w:jc w:val="both"/>
        <w:rPr>
          <w:rFonts w:asciiTheme="majorBidi" w:hAnsiTheme="majorBidi" w:cstheme="majorBidi"/>
          <w:spacing w:val="-2"/>
        </w:rPr>
      </w:pPr>
      <w:r w:rsidRPr="00C74F6D">
        <w:rPr>
          <w:rFonts w:asciiTheme="majorBidi" w:hAnsiTheme="majorBidi" w:cstheme="majorBidi"/>
          <w:spacing w:val="-2"/>
        </w:rPr>
        <w:t>Once patients were diagnosed with OSCC and accepted the conditions of the research, a senior dentistry student collected data through clinical oral examinations and a questionnaire consisting of demographics, behavioral risk factors, involved intraoral regions and the largest dimension of the lesion, and symptoms which patients were reporting at the time of clinical examination, and duration of lesion presence in mouth since the first time, the patient was aware of its appearance.</w:t>
      </w:r>
    </w:p>
    <w:p w14:paraId="1FEE3F3B" w14:textId="77777777" w:rsidR="00853B1D" w:rsidRPr="00C74F6D" w:rsidRDefault="00853B1D" w:rsidP="00853B1D">
      <w:pPr>
        <w:pStyle w:val="Heading2"/>
        <w:spacing w:before="0" w:after="0" w:line="360" w:lineRule="auto"/>
        <w:jc w:val="both"/>
        <w:rPr>
          <w:rFonts w:asciiTheme="majorBidi" w:hAnsiTheme="majorBidi"/>
          <w:color w:val="auto"/>
          <w:spacing w:val="-2"/>
          <w:sz w:val="24"/>
          <w:szCs w:val="24"/>
        </w:rPr>
      </w:pPr>
      <w:r w:rsidRPr="00C74F6D">
        <w:rPr>
          <w:rFonts w:asciiTheme="majorBidi" w:hAnsiTheme="majorBidi"/>
          <w:b/>
          <w:bCs/>
          <w:color w:val="auto"/>
          <w:spacing w:val="-2"/>
          <w:sz w:val="24"/>
          <w:szCs w:val="24"/>
        </w:rPr>
        <w:t>Data collection</w:t>
      </w:r>
    </w:p>
    <w:p w14:paraId="11FC89A3" w14:textId="77777777" w:rsidR="00853B1D" w:rsidRPr="00C74F6D" w:rsidRDefault="00853B1D" w:rsidP="00853B1D">
      <w:pPr>
        <w:pStyle w:val="Heading2"/>
        <w:spacing w:before="0" w:after="0" w:line="360" w:lineRule="auto"/>
        <w:jc w:val="both"/>
        <w:rPr>
          <w:rFonts w:asciiTheme="majorBidi" w:hAnsiTheme="majorBidi"/>
          <w:b/>
          <w:bCs/>
          <w:color w:val="auto"/>
          <w:spacing w:val="-2"/>
          <w:sz w:val="24"/>
          <w:szCs w:val="24"/>
          <w:rtl/>
        </w:rPr>
      </w:pPr>
      <w:r w:rsidRPr="00AC3F27">
        <w:rPr>
          <w:rFonts w:asciiTheme="majorBidi" w:hAnsiTheme="majorBidi"/>
          <w:color w:val="auto"/>
          <w:spacing w:val="-2"/>
          <w:sz w:val="24"/>
          <w:szCs w:val="24"/>
          <w:highlight w:val="yellow"/>
        </w:rPr>
        <w:t>Demographic, clinical, and behavioral information (cigarette, hookah, smokeless tobacco/snuff, and opium use) were obtained from clinical records and structured interviews. Behavioral variables were recorded as yes/no. Although frequency and duration of use were not systematically assessed, all participants were asked standardized questions. Oral medicine specialists reviewed face and content validity of the questionnaire, and reliability was evaluated in a pilot sample (Cronbach’s α</w:t>
      </w:r>
      <w:r w:rsidRPr="00C74F6D">
        <w:rPr>
          <w:rFonts w:asciiTheme="majorBidi" w:hAnsiTheme="majorBidi"/>
          <w:color w:val="auto"/>
          <w:spacing w:val="-2"/>
          <w:sz w:val="24"/>
          <w:szCs w:val="24"/>
        </w:rPr>
        <w:t xml:space="preserve"> </w:t>
      </w:r>
      <w:r w:rsidRPr="00AC3F27">
        <w:rPr>
          <w:rFonts w:asciiTheme="majorBidi" w:hAnsiTheme="majorBidi"/>
          <w:color w:val="auto"/>
          <w:spacing w:val="-2"/>
          <w:sz w:val="24"/>
          <w:szCs w:val="24"/>
          <w:highlight w:val="yellow"/>
        </w:rPr>
        <w:t>= 0.82)</w:t>
      </w:r>
    </w:p>
    <w:p w14:paraId="2038E578" w14:textId="77777777" w:rsidR="00853B1D" w:rsidRPr="00C74F6D" w:rsidRDefault="00853B1D" w:rsidP="00853B1D">
      <w:pPr>
        <w:pStyle w:val="Heading2"/>
        <w:spacing w:before="0" w:after="0" w:line="360" w:lineRule="auto"/>
        <w:jc w:val="both"/>
        <w:rPr>
          <w:rFonts w:asciiTheme="majorBidi" w:hAnsiTheme="majorBidi"/>
          <w:b/>
          <w:bCs/>
          <w:color w:val="auto"/>
          <w:spacing w:val="-2"/>
          <w:sz w:val="24"/>
          <w:szCs w:val="24"/>
        </w:rPr>
      </w:pPr>
      <w:r w:rsidRPr="00C74F6D">
        <w:rPr>
          <w:rFonts w:asciiTheme="majorBidi" w:hAnsiTheme="majorBidi"/>
          <w:b/>
          <w:bCs/>
          <w:color w:val="auto"/>
          <w:spacing w:val="-2"/>
          <w:sz w:val="24"/>
          <w:szCs w:val="24"/>
        </w:rPr>
        <w:t>Statistical analysis</w:t>
      </w:r>
    </w:p>
    <w:p w14:paraId="41C7E95C" w14:textId="77777777" w:rsidR="00853B1D" w:rsidRPr="00C74F6D" w:rsidRDefault="00853B1D" w:rsidP="00853B1D">
      <w:pPr>
        <w:spacing w:line="360" w:lineRule="auto"/>
        <w:rPr>
          <w:rFonts w:asciiTheme="majorBidi" w:hAnsiTheme="majorBidi" w:cstheme="majorBidi"/>
        </w:rPr>
      </w:pPr>
      <w:bookmarkStart w:id="0" w:name="_Hlk155201187"/>
      <w:r w:rsidRPr="00C74F6D">
        <w:rPr>
          <w:rFonts w:asciiTheme="majorBidi" w:hAnsiTheme="majorBidi" w:cstheme="majorBidi"/>
        </w:rPr>
        <w:t xml:space="preserve">Data were analyzed in SPSS v22. Categorical variables are reported as frequencies and percentages; continuous variables as mean ± standard deviation (SD). Group comparisons were performed using </w:t>
      </w:r>
      <w:r>
        <w:rPr>
          <w:rFonts w:asciiTheme="majorBidi" w:hAnsiTheme="majorBidi" w:cstheme="majorBidi"/>
        </w:rPr>
        <w:t xml:space="preserve">the </w:t>
      </w:r>
      <w:r w:rsidRPr="00C74F6D">
        <w:rPr>
          <w:rFonts w:asciiTheme="majorBidi" w:hAnsiTheme="majorBidi" w:cstheme="majorBidi"/>
        </w:rPr>
        <w:t>Chi-square test or Fisher’s exact test when expected cell counts were &lt;5. All tests were two-tailed with α = 0.05.</w:t>
      </w:r>
      <w:bookmarkEnd w:id="0"/>
    </w:p>
    <w:p w14:paraId="2D50542D" w14:textId="77777777" w:rsidR="00853B1D" w:rsidRPr="00C74F6D" w:rsidRDefault="00853B1D" w:rsidP="00853B1D">
      <w:pPr>
        <w:pStyle w:val="Heading1"/>
        <w:spacing w:before="0" w:after="0" w:line="460" w:lineRule="atLeast"/>
        <w:jc w:val="both"/>
        <w:rPr>
          <w:rFonts w:asciiTheme="majorBidi" w:hAnsiTheme="majorBidi"/>
          <w:b/>
          <w:bCs/>
          <w:color w:val="auto"/>
          <w:spacing w:val="-2"/>
          <w:sz w:val="24"/>
          <w:szCs w:val="24"/>
        </w:rPr>
      </w:pPr>
      <w:r w:rsidRPr="00C74F6D">
        <w:rPr>
          <w:rFonts w:asciiTheme="majorBidi" w:hAnsiTheme="majorBidi"/>
          <w:b/>
          <w:bCs/>
          <w:color w:val="auto"/>
          <w:spacing w:val="-2"/>
          <w:sz w:val="24"/>
          <w:szCs w:val="24"/>
        </w:rPr>
        <w:t>Results</w:t>
      </w:r>
    </w:p>
    <w:p w14:paraId="7DBA0F72"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 xml:space="preserve">Sixty-three patients with </w:t>
      </w:r>
      <w:proofErr w:type="spellStart"/>
      <w:r w:rsidRPr="00AC3F27">
        <w:rPr>
          <w:rFonts w:asciiTheme="majorBidi" w:hAnsiTheme="majorBidi" w:cstheme="majorBidi"/>
          <w:spacing w:val="-2"/>
          <w:highlight w:val="yellow"/>
        </w:rPr>
        <w:t>histopathologically</w:t>
      </w:r>
      <w:proofErr w:type="spellEnd"/>
      <w:r w:rsidRPr="00AC3F27">
        <w:rPr>
          <w:rFonts w:asciiTheme="majorBidi" w:hAnsiTheme="majorBidi" w:cstheme="majorBidi"/>
          <w:spacing w:val="-2"/>
          <w:highlight w:val="yellow"/>
        </w:rPr>
        <w:t xml:space="preserve"> confirmed oral squamous cell carcinoma (OSCC) were included. The mean age was 54.2 ± 12.9 years (range, 36–85), and 55.6% of the participants were older than 50 years. Women comprised 54.0% of cases (n = 34). A family history of oral cancer was </w:t>
      </w:r>
      <w:r w:rsidRPr="00AC3F27">
        <w:rPr>
          <w:rFonts w:asciiTheme="majorBidi" w:hAnsiTheme="majorBidi" w:cstheme="majorBidi"/>
          <w:spacing w:val="-2"/>
          <w:highlight w:val="yellow"/>
        </w:rPr>
        <w:lastRenderedPageBreak/>
        <w:t>reported by 31.7% of patients, and 81.0% (n = 51) self-identified as Baloch, reflecting the local catchment population (Table 1).</w:t>
      </w:r>
    </w:p>
    <w:p w14:paraId="65EF8518"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Regarding self-reported habits, 67.3% of patients used snuff, 54.0% smoked cigarettes, 54.0% used hookah, and 47.6% reported opium use; categories were not mutually exclusive (Figure 1).</w:t>
      </w:r>
    </w:p>
    <w:p w14:paraId="30D1CD26"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At presentation, 34.9% of patients reported pain only, 33.3% reported pain with hemorrhage, and 15.9% were asymptomatic. The interval from first awareness of the lesion to seeking care was 1–3 months in 41.3% and 3–6 months in 42.9% of patients. Most lesions (52.4%) measured 3–10 cm; overall, 79.4% were larger than 3 cm (Table 2).</w:t>
      </w:r>
    </w:p>
    <w:p w14:paraId="7BB80610"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The most frequent primary site was the floor of the mouth (38.1%), followed by mandibular gingiva (28.6%) and tongue (12.7%). Buccal mucosa was the least common (1.6%) (Figure 2).</w:t>
      </w:r>
    </w:p>
    <w:p w14:paraId="5DCD9D28"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Longer delays in presentation (&gt; 3 months) were more common in patients aged ≥ 50 years compared with younger patients (57.1% vs. 25.0%; P = 0.012) and in smokers compared with non-smokers (55.6% vs. 11.1%; P = 0.019) (Table 3). For instance, lesions present for 3–6 months were reported in 57.1% of older patients compared with 25.0% of younger patients, and in 55.6% of smokers compared with 11.1% of non-smokers.</w:t>
      </w:r>
    </w:p>
    <w:p w14:paraId="3412DF6C" w14:textId="77777777" w:rsidR="00853B1D" w:rsidRPr="00C74F6D" w:rsidRDefault="00853B1D" w:rsidP="00853B1D">
      <w:pPr>
        <w:autoSpaceDE w:val="0"/>
        <w:autoSpaceDN w:val="0"/>
        <w:adjustRightInd w:val="0"/>
        <w:spacing w:after="0" w:line="460" w:lineRule="atLeast"/>
        <w:jc w:val="both"/>
        <w:rPr>
          <w:rFonts w:asciiTheme="majorBidi" w:hAnsiTheme="majorBidi" w:cstheme="majorBidi"/>
          <w:spacing w:val="-2"/>
        </w:rPr>
      </w:pPr>
      <w:r w:rsidRPr="00AC3F27">
        <w:rPr>
          <w:rFonts w:asciiTheme="majorBidi" w:hAnsiTheme="majorBidi" w:cstheme="majorBidi"/>
          <w:spacing w:val="-2"/>
          <w:highlight w:val="yellow"/>
        </w:rPr>
        <w:t>Pain as a presenting symptom was more frequent in women than men (44.1% vs. 24.1%; P = 0.020) and in patients younger than 50 years compared with older patients (42.9% vs. 28.6%; P = 0.023) (Table 4). No other significant associations were observed between demographic or behavioral factors and tumor site, size, or symptoms</w:t>
      </w:r>
      <w:r w:rsidRPr="00AC3F27">
        <w:rPr>
          <w:rFonts w:asciiTheme="majorBidi" w:hAnsiTheme="majorBidi" w:cstheme="majorBidi" w:hint="cs"/>
          <w:spacing w:val="-2"/>
          <w:highlight w:val="yellow"/>
          <w:rtl/>
        </w:rPr>
        <w:t>.</w:t>
      </w:r>
    </w:p>
    <w:p w14:paraId="53120E8C" w14:textId="77777777" w:rsidR="00853B1D" w:rsidRPr="00C74F6D" w:rsidRDefault="00853B1D" w:rsidP="00853B1D">
      <w:pPr>
        <w:autoSpaceDE w:val="0"/>
        <w:autoSpaceDN w:val="0"/>
        <w:adjustRightInd w:val="0"/>
        <w:spacing w:after="0" w:line="460" w:lineRule="atLeast"/>
        <w:jc w:val="both"/>
        <w:rPr>
          <w:rFonts w:asciiTheme="majorBidi" w:hAnsiTheme="majorBidi" w:cstheme="majorBidi"/>
          <w:spacing w:val="-2"/>
        </w:rPr>
      </w:pPr>
    </w:p>
    <w:p w14:paraId="76C4E24E" w14:textId="77777777" w:rsidR="00853B1D" w:rsidRPr="00C74F6D" w:rsidRDefault="00853B1D" w:rsidP="00853B1D">
      <w:pPr>
        <w:pStyle w:val="Heading1"/>
        <w:spacing w:before="0" w:after="0" w:line="460" w:lineRule="atLeast"/>
        <w:jc w:val="both"/>
        <w:rPr>
          <w:rFonts w:asciiTheme="majorBidi" w:hAnsiTheme="majorBidi"/>
          <w:b/>
          <w:bCs/>
          <w:color w:val="auto"/>
          <w:spacing w:val="-2"/>
          <w:sz w:val="24"/>
          <w:szCs w:val="24"/>
        </w:rPr>
      </w:pPr>
      <w:r w:rsidRPr="00C74F6D">
        <w:rPr>
          <w:rFonts w:asciiTheme="majorBidi" w:hAnsiTheme="majorBidi"/>
          <w:b/>
          <w:bCs/>
          <w:color w:val="auto"/>
          <w:spacing w:val="-2"/>
          <w:sz w:val="24"/>
          <w:szCs w:val="24"/>
        </w:rPr>
        <w:t>Discussion</w:t>
      </w:r>
    </w:p>
    <w:p w14:paraId="7A2AB52E"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 xml:space="preserve">This cross-sectional study provides updated information on the epidemiology of oral squamous cell carcinoma (OSCC) in Southeast Iran. The mean age of patients was 54.2 years, which is lower than that reported in some Brazilian series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&lt;EndNote&gt;&lt;Cite&gt;&lt;Author&gt;Louredo&lt;/Author&gt;&lt;Year&gt;2022&lt;/Year&gt;&lt;RecNum&gt;11&lt;/RecNum&gt;&lt;DisplayText&gt;(12, 13)&lt;/DisplayText&gt;&lt;record&gt;&lt;rec-number&gt;11&lt;/rec-number&gt;&lt;foreign-keys&gt;&lt;key app="EN" db-id="dsdvv599a9s2rpezxfivda2nr0dfd50v9vpf" timestamp="1757606393"&gt;11&lt;/key&gt;&lt;/foreign-keys&gt;&lt;ref-type name="Journal Article"&gt;17&lt;/ref-type&gt;&lt;contributors&gt;&lt;authors&gt;&lt;author&gt;Louredo, Brendo Vinícius Rodrigues&lt;/author&gt;&lt;author&gt;Vargas, Pablo Agustin&lt;/author&gt;&lt;author&gt;Pérez-de-Oliveira, Maria Eduarda&lt;/author&gt;&lt;author&gt;Lopes, Márcio Ajudarte&lt;/author&gt;&lt;author&gt;Kowalski, Luiz Paulo&lt;/author&gt;&lt;author&gt;Curado, Maria Paula&lt;/author&gt;&lt;/authors&gt;&lt;/contributors&gt;&lt;titles&gt;&lt;title&gt;Epidemiology and survival outcomes of lip, oral cavity, and oropharyngeal squamous cell carcinoma in a southeast Brazilian population&lt;/title&gt;&lt;secondary-title&gt;Medicina oral, patologia oral y cirugia bucal&lt;/secondary-title&gt;&lt;/titles&gt;&lt;periodical&gt;&lt;full-title&gt;Medicina oral, patologia oral y cirugia bucal&lt;/full-title&gt;&lt;/periodical&gt;&lt;pages&gt;e274&lt;/pages&gt;&lt;volume&gt;27&lt;/volume&gt;&lt;number&gt;3&lt;/number&gt;&lt;dates&gt;&lt;year&gt;2022&lt;/year&gt;&lt;/dates&gt;&lt;urls&gt;&lt;/urls&gt;&lt;/record&gt;&lt;/Cite&gt;&lt;Cite&gt;&lt;Author&gt;Solhi&lt;/Author&gt;&lt;Year&gt;2020&lt;/Year&gt;&lt;RecNum&gt;12&lt;/RecNum&gt;&lt;record&gt;&lt;rec-number&gt;12&lt;/rec-number&gt;&lt;foreign-keys&gt;&lt;key app="EN" db-id="dsdvv599a9s2rpezxfivda2nr0dfd50v9vpf" timestamp="1757606400"&gt;12&lt;/key&gt;&lt;/foreign-keys&gt;&lt;ref-type name="Journal Article"&gt;17&lt;/ref-type&gt;&lt;contributors&gt;&lt;authors&gt;&lt;author&gt;Solhi, Mahnaz&lt;/author&gt;&lt;author&gt;Fattahi, Esmaeil&lt;/author&gt;&lt;author&gt;Barati, Hadis&lt;/author&gt;&lt;author&gt;Mohammadi, Masoud&lt;/author&gt;&lt;author&gt;Kasmaei, Parisa&lt;/author&gt;&lt;author&gt;Rastaghi, Sedighe&lt;/author&gt;&lt;/authors&gt;&lt;/contributors&gt;&lt;titles&gt;&lt;title&gt;Smokeless tobacco use in Iran: a systematic review&lt;/title&gt;&lt;secondary-title&gt;Addiction &amp;amp; Health&lt;/secondary-title&gt;&lt;/titles&gt;&lt;periodical&gt;&lt;full-title&gt;Addiction &amp;amp; Health&lt;/full-title&gt;&lt;/periodical&gt;&lt;pages&gt;225&lt;/pages&gt;&lt;volume&gt;12&lt;/volume&gt;&lt;number&gt;3&lt;/number&gt;&lt;dates&gt;&lt;year&gt;2020&lt;/year&gt;&lt;/dates&gt;&lt;urls&gt;&lt;/urls&gt;&lt;/record&gt;&lt;/Cite&gt;&lt;/EndNote&gt;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(12, 13)</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but higher than findings from Canada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&lt;EndNote&gt;&lt;Cite&gt;&lt;Author&gt;Badri&lt;/Author&gt;&lt;Year&gt;2022&lt;/Year&gt;&lt;RecNum&gt;13&lt;/RecNum&gt;&lt;DisplayText&gt;(14)&lt;/DisplayText&gt;&lt;record&gt;&lt;rec-number&gt;13&lt;/rec-number&gt;&lt;foreign-keys&gt;&lt;key app="EN" db-id="dsdvv599a9s2rpezxfivda2nr0dfd50v9vpf" timestamp="1757606407"&gt;13&lt;/key&gt;&lt;/foreign-keys&gt;&lt;ref-type name="Journal Article"&gt;17&lt;/ref-type&gt;&lt;contributors&gt;&lt;authors&gt;&lt;author&gt;Badri, Parvaneh&lt;/author&gt;&lt;author&gt;Lai, Hollis&lt;/author&gt;&lt;author&gt;Ganatra, Seema&lt;/author&gt;&lt;author&gt;Baracos, Vickie&lt;/author&gt;&lt;author&gt;Amin, Maryam&lt;/author&gt;&lt;/authors&gt;&lt;/contributors&gt;&lt;titles&gt;&lt;title&gt;Factors Associated with oral cancerous and precancerous lesions in an Underserved Community: a cross-sectional study&lt;/title&gt;&lt;secondary-title&gt;International Journal of Environmental Research and Public Health&lt;/secondary-title&gt;&lt;/titles&gt;&lt;periodical&gt;&lt;full-title&gt;International Journal of Environmental Research and Public Health&lt;/full-title&gt;&lt;/periodical&gt;&lt;pages&gt;1297&lt;/pages&gt;&lt;volume&gt;19&lt;/volume&gt;&lt;number&gt;3&lt;/number&gt;&lt;dates&gt;&lt;year&gt;2022&lt;/year&gt;&lt;/dates&gt;&lt;isbn&gt;1660-4601&lt;/isbn&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(14)</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Women represented 54% of cases, a proportion differing from several reports where men predominated </w:t>
      </w:r>
      <w:r w:rsidRPr="00AC3F27">
        <w:rPr>
          <w:rFonts w:asciiTheme="majorBidi" w:hAnsiTheme="majorBidi" w:cstheme="majorBidi"/>
          <w:spacing w:val="-2"/>
          <w:highlight w:val="yellow"/>
        </w:rPr>
        <w:fldChar w:fldCharType="begin">
          <w:fldData xml:space="preserve">PEVuZE5vdGU+PENpdGU+PEF1dGhvcj5Mb3VyZWRvPC9BdXRob3I+PFllYXI+MjAyMjwvWWVhcj48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==
</w:fldData>
        </w:fldChar>
      </w:r>
      <w:r w:rsidRPr="00AC3F27">
        <w:rPr>
          <w:rFonts w:asciiTheme="majorBidi" w:hAnsiTheme="majorBidi" w:cstheme="majorBidi"/>
          <w:spacing w:val="-2"/>
          <w:highlight w:val="yellow"/>
        </w:rPr>
        <w:instrText xml:space="preserve"> ADDIN EN.CITE </w:instrText>
      </w:r>
      <w:r w:rsidRPr="00AC3F27">
        <w:rPr>
          <w:rFonts w:asciiTheme="majorBidi" w:hAnsiTheme="majorBidi" w:cstheme="majorBidi"/>
          <w:spacing w:val="-2"/>
          <w:highlight w:val="yellow"/>
        </w:rPr>
        <w:fldChar w:fldCharType="begin">
          <w:fldData xml:space="preserve">PEVuZE5vdGU+PENpdGU+PEF1dGhvcj5Mb3VyZWRvPC9BdXRob3I+PFllYXI+MjAyMjwvWWVhcj48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==
</w:fldData>
        </w:fldChar>
      </w:r>
      <w:r w:rsidRPr="00AC3F27">
        <w:rPr>
          <w:rFonts w:asciiTheme="majorBidi" w:hAnsiTheme="majorBidi" w:cstheme="majorBidi"/>
          <w:spacing w:val="-2"/>
          <w:highlight w:val="yellow"/>
        </w:rPr>
        <w:instrText xml:space="preserve"> ADDIN EN.CITE.DATA </w:instrText>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(12, 14, 15)</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However, studies from South Asia have also reported higher prevalence among women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&lt;EndNote&gt;&lt;Cite&gt;&lt;Author&gt;Toralla&lt;/Author&gt;&lt;Year&gt;2022&lt;/Year&gt;&lt;RecNum&gt;15&lt;/RecNum&gt;&lt;DisplayText&gt;(16)&lt;/DisplayText&gt;&lt;record&gt;&lt;rec-number&gt;15&lt;/rec-number&gt;&lt;foreign-keys&gt;&lt;key app="EN" db-id="dsdvv599a9s2rpezxfivda2nr0dfd50v9vpf" timestamp="1757606463"&gt;15&lt;/key&gt;&lt;/foreign-keys&gt;&lt;ref-type name="Journal Article"&gt;17&lt;/ref-type&gt;&lt;contributors&gt;&lt;authors&gt;&lt;author&gt;Toralla, Oscar&lt;/author&gt;&lt;author&gt;Lopez Jornet, Pia&lt;/author&gt;&lt;author&gt;Pons-Fuster, Eduardo&lt;/author&gt;&lt;/authors&gt;&lt;/contributors&gt;&lt;titles&gt;&lt;title&gt;The effect of an informative video upon anxiety and stress in patients requiring an oral biopsy: A randomized controlled study&lt;/title&gt;&lt;secondary-title&gt;International Journal of Environmental Research and Public Health&lt;/secondary-title&gt;&lt;/titles&gt;&lt;periodical&gt;&lt;full-title&gt;International Journal of Environmental Research and Public Health&lt;/full-title&gt;&lt;/periodical&gt;&lt;pages&gt;783&lt;/pages&gt;&lt;volume&gt;19&lt;/volume&gt;&lt;number&gt;2&lt;/number&gt;&lt;dates&gt;&lt;year&gt;2022&lt;/year&gt;&lt;/dates&gt;&lt;isbn&gt;1660-4601&lt;/isbn&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(16)</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possibly reflecting cultural practices that discourage smoking among women but allow smokeless tobacco use. Such explanations should be interpreted cautiously given our descriptive design.</w:t>
      </w:r>
    </w:p>
    <w:p w14:paraId="5375A6D0"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lastRenderedPageBreak/>
        <w:t xml:space="preserve">Snuff use was the most frequently reported risk factor (67.3%), consistent with studies demonstrating the role of smokeless tobacco in oral cancer </w:t>
      </w:r>
      <w:r w:rsidRPr="00AC3F27">
        <w:rPr>
          <w:rFonts w:asciiTheme="majorBidi" w:hAnsiTheme="majorBidi" w:cstheme="majorBidi"/>
          <w:spacing w:val="-2"/>
          <w:highlight w:val="yellow"/>
        </w:rPr>
        <w:fldChar w:fldCharType="begin">
          <w:fldData xml:space="preserve">PEVuZE5vdGU+PENpdGU+PEF1dGhvcj5Db2xhcmVzPC9BdXRob3I+PFllYXI+MjAxOTwvWWVhcj48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</w:fldData>
        </w:fldChar>
      </w:r>
      <w:r w:rsidRPr="00AC3F27">
        <w:rPr>
          <w:rFonts w:asciiTheme="majorBidi" w:hAnsiTheme="majorBidi" w:cstheme="majorBidi"/>
          <w:spacing w:val="-2"/>
          <w:highlight w:val="yellow"/>
        </w:rPr>
        <w:instrText xml:space="preserve"> ADDIN EN.CITE </w:instrText>
      </w:r>
      <w:r w:rsidRPr="00AC3F27">
        <w:rPr>
          <w:rFonts w:asciiTheme="majorBidi" w:hAnsiTheme="majorBidi" w:cstheme="majorBidi"/>
          <w:spacing w:val="-2"/>
          <w:highlight w:val="yellow"/>
        </w:rPr>
        <w:fldChar w:fldCharType="begin">
          <w:fldData xml:space="preserve">PEVuZE5vdGU+PENpdGU+PEF1dGhvcj5Db2xhcmVzPC9BdXRob3I+PFllYXI+MjAxOTwvWWVhcj48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</w:fldData>
        </w:fldChar>
      </w:r>
      <w:r w:rsidRPr="00AC3F27">
        <w:rPr>
          <w:rFonts w:asciiTheme="majorBidi" w:hAnsiTheme="majorBidi" w:cstheme="majorBidi"/>
          <w:spacing w:val="-2"/>
          <w:highlight w:val="yellow"/>
        </w:rPr>
        <w:instrText xml:space="preserve"> ADDIN EN.CITE.DATA </w:instrText>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(15-18)</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xml:space="preserve">. In our series, the floor of the mouth was the most common tumor site (38.1%), aligning with some prior findings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&lt;EndNote&gt;&lt;Cite&gt;&lt;Author&gt;Anwar&lt;/Author&gt;&lt;Year&gt;2024&lt;/Year&gt;&lt;RecNum&gt;20&lt;/RecNum&gt;&lt;DisplayText&gt;(19, 20)&lt;/DisplayText&gt;&lt;record&gt;&lt;rec-number&gt;20&lt;/rec-number&gt;&lt;foreign-keys&gt;&lt;key app="EN" db-id="dsdvv599a9s2rpezxfivda2nr0dfd50v9vpf" timestamp="1757606509"&gt;20&lt;/key&gt;&lt;/foreign-keys&gt;&lt;ref-type name="Journal Article"&gt;17&lt;/ref-type&gt;&lt;contributors&gt;&lt;authors&gt;&lt;author&gt;Anwar, Namrah&lt;/author&gt;&lt;author&gt;Chundriger, Qurratulain&lt;/author&gt;&lt;author&gt;Awan, Sohail&lt;/author&gt;&lt;author&gt;Moatter, Tariq&lt;/author&gt;&lt;author&gt;Ali, Tazeen Saeed&lt;/author&gt;&lt;author&gt;Abdul Rasheed, Maria&lt;/author&gt;&lt;author&gt;Pervez, Shahid&lt;/author&gt;&lt;/authors&gt;&lt;/contributors&gt;&lt;titles&gt;&lt;title&gt;Prevalence of high-risk human papillomavirus in oral squamous cell carcinoma with or without chewing habits&lt;/title&gt;&lt;secondary-title&gt;Plos one&lt;/secondary-title&gt;&lt;/titles&gt;&lt;periodical&gt;&lt;full-title&gt;Plos one&lt;/full-title&gt;&lt;/periodical&gt;&lt;pages&gt;e0300354&lt;/pages&gt;&lt;volume&gt;19&lt;/volume&gt;&lt;number&gt;5&lt;/number&gt;&lt;dates&gt;&lt;year&gt;2024&lt;/year&gt;&lt;/dates&gt;&lt;isbn&gt;1932-6203&lt;/isbn&gt;&lt;urls&gt;&lt;/urls&gt;&lt;/record&gt;&lt;/Cite&gt;&lt;Cite&gt;&lt;Author&gt;Ha&lt;/Author&gt;&lt;Year&gt;2004&lt;/Year&gt;&lt;RecNum&gt;21&lt;/RecNum&gt;&lt;record&gt;&lt;rec-number&gt;21&lt;/rec-number&gt;&lt;foreign-keys&gt;&lt;key app="EN" db-id="dsdvv599a9s2rpezxfivda2nr0dfd50v9vpf" timestamp="1757606520"&gt;21&lt;/key&gt;&lt;/foreign-keys&gt;&lt;ref-type name="Journal Article"&gt;17&lt;/ref-type&gt;&lt;contributors&gt;&lt;authors&gt;&lt;author&gt;Ha, Patrick K&lt;/author&gt;&lt;author&gt;Califano, Joseph A&lt;/author&gt;&lt;/authors&gt;&lt;/contributors&gt;&lt;titles&gt;&lt;title&gt;The role of human papillomavirus in oral carcinogenesis&lt;/title&gt;&lt;secondary-title&gt;Critical Reviews in Oral Biology &amp;amp; Medicine&lt;/secondary-title&gt;&lt;/titles&gt;&lt;periodical&gt;&lt;full-title&gt;Critical Reviews in Oral Biology &amp;amp; Medicine&lt;/full-title&gt;&lt;/periodical&gt;&lt;pages&gt;188-196&lt;/pages&gt;&lt;volume&gt;15&lt;/volume&gt;&lt;number&gt;4&lt;/number&gt;&lt;dates&gt;&lt;year&gt;2004&lt;/year&gt;&lt;/dates&gt;&lt;isbn&gt;1045-4411&lt;/isbn&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(19, 20)</w:t>
      </w:r>
      <w:r w:rsidRPr="00AC3F27">
        <w:rPr>
          <w:rFonts w:asciiTheme="majorBidi" w:hAnsiTheme="majorBidi" w:cstheme="majorBidi"/>
          <w:spacing w:val="-2"/>
          <w:highlight w:val="yellow"/>
        </w:rPr>
        <w:fldChar w:fldCharType="end"/>
      </w:r>
      <w:r w:rsidRPr="00AC3F27">
        <w:rPr>
          <w:rFonts w:asciiTheme="majorBidi" w:hAnsiTheme="majorBidi" w:cstheme="majorBidi"/>
          <w:spacing w:val="-2"/>
          <w:highlight w:val="yellow"/>
        </w:rPr>
        <w:t>, although other populations have reported the tongue or lip as more common locations.</w:t>
      </w:r>
    </w:p>
    <w:p w14:paraId="638D5233"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Delayed presentation was frequent: 42.9% of patients, mainly older individuals and smokers, sought treatment only after 3–6 months. Such delays highlight the lack of awareness regarding early signs of OSCC and the absence of systematic screening programs in Iran. Pain as a presenting symptom was more often reported by younger patients and women, which may reflect differences in health-seeking behavior or symptom perception rather than biological variation. The predominance of Baloch patients (81%) in this cohort likely reflects the regional catchment population rather than ethnicity as an independent risk factor. Future analytic studies, such as case–control designs, are required to clarify potential associations.</w:t>
      </w:r>
    </w:p>
    <w:p w14:paraId="3F976A29"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Strengths include complete case ascertainment during the study period and pathology-confirmed diagnoses. Limitations include the single-center design, modest sample size, reliance on self-reported behaviors (subject to recall and social desirability bias), lack of detailed exposure frequency/duration, and absence of multivariable analysis.</w:t>
      </w:r>
    </w:p>
    <w:p w14:paraId="2ED0757F" w14:textId="77777777" w:rsidR="00853B1D" w:rsidRPr="00AC3F27" w:rsidRDefault="00853B1D" w:rsidP="00853B1D">
      <w:pPr>
        <w:autoSpaceDE w:val="0"/>
        <w:autoSpaceDN w:val="0"/>
        <w:adjustRightInd w:val="0"/>
        <w:spacing w:after="0" w:line="460" w:lineRule="atLeast"/>
        <w:jc w:val="both"/>
        <w:rPr>
          <w:rFonts w:asciiTheme="majorBidi" w:hAnsiTheme="majorBidi" w:cstheme="majorBidi"/>
          <w:spacing w:val="-2"/>
          <w:highlight w:val="yellow"/>
        </w:rPr>
      </w:pPr>
      <w:r w:rsidRPr="00AC3F27">
        <w:rPr>
          <w:rFonts w:asciiTheme="majorBidi" w:hAnsiTheme="majorBidi" w:cstheme="majorBidi"/>
          <w:spacing w:val="-2"/>
          <w:highlight w:val="yellow"/>
        </w:rPr>
        <w:t xml:space="preserve">These findings emphasize the need for public health programs promoting awareness of OSCC risk factors, particularly smokeless tobacco, and the benefits of early diagnosis. Establishing oral cancer screening in dental clinics and integrating culturally tailored cessation programs into community health strategies could help reduce diagnostic delays and disease burden in Southeast Iran </w:t>
      </w:r>
      <w:r w:rsidRPr="00AC3F27">
        <w:rPr>
          <w:rFonts w:asciiTheme="majorBidi" w:hAnsiTheme="majorBidi" w:cstheme="majorBidi"/>
          <w:spacing w:val="-2"/>
          <w:highlight w:val="yellow"/>
        </w:rPr>
        <w:fldChar w:fldCharType="begin"/>
      </w:r>
      <w:r w:rsidRPr="00AC3F27">
        <w:rPr>
          <w:rFonts w:asciiTheme="majorBidi" w:hAnsiTheme="majorBidi" w:cstheme="majorBidi"/>
          <w:spacing w:val="-2"/>
          <w:highlight w:val="yellow"/>
        </w:rPr>
        <w:instrText xml:space="preserve"> ADDIN EN.CITE &lt;EndNote&gt;&lt;Cite&gt;&lt;Author&gt;Rumgay&lt;/Author&gt;&lt;Year&gt;2024&lt;/Year&gt;&lt;RecNum&gt;22&lt;/RecNum&gt;&lt;DisplayText&gt;(10)&lt;/DisplayText&gt;&lt;record&gt;&lt;rec-number&gt;22&lt;/rec-number&gt;&lt;foreign-keys&gt;&lt;key app="EN" db-id="dsdvv599a9s2rpezxfivda2nr0dfd50v9vpf" timestamp="1757606529"&gt;22&lt;/key&gt;&lt;/foreign-keys&gt;&lt;ref-type name="Journal Article"&gt;17&lt;/ref-type&gt;&lt;contributors&gt;&lt;authors&gt;&lt;author&gt;Rumgay, Harriet&lt;/author&gt;&lt;author&gt;Nethan, Suzanne T&lt;/author&gt;&lt;author&gt;Shah, Richa&lt;/author&gt;&lt;author&gt;Vignat, Jérôme&lt;/author&gt;&lt;author&gt;Ayo-Yusuf, Olalekan&lt;/author&gt;&lt;author&gt;Chaturvedi, Pankaj&lt;/author&gt;&lt;author&gt;Guerra, Eliete NS&lt;/author&gt;&lt;author&gt;Gupta, Prakash C&lt;/author&gt;&lt;author&gt;Gupta, Ruchika&lt;/author&gt;&lt;author&gt;Liu, Shiwei&lt;/author&gt;&lt;/authors&gt;&lt;/contributors&gt;&lt;titles&gt;&lt;title&gt;Global burden of oral cancer in 2022 attributable to smokeless tobacco and areca nut consumption: a population attributable fraction analysis&lt;/title&gt;&lt;secondary-title&gt;The Lancet Oncology&lt;/secondary-title&gt;&lt;/titles&gt;&lt;periodical&gt;&lt;full-title&gt;The Lancet Oncology&lt;/full-title&gt;&lt;/periodical&gt;&lt;pages&gt;1413-1423&lt;/pages&gt;&lt;volume&gt;25&lt;/volume&gt;&lt;number&gt;11&lt;/number&gt;&lt;dates&gt;&lt;year&gt;2024&lt;/year&gt;&lt;/dates&gt;&lt;isbn&gt;1470-2045&lt;/isbn&gt;&lt;urls&gt;&lt;/urls&gt;&lt;/record&gt;&lt;/Cite&gt;&lt;/EndNote&gt;</w:instrText>
      </w:r>
      <w:r w:rsidRPr="00AC3F27">
        <w:rPr>
          <w:rFonts w:asciiTheme="majorBidi" w:hAnsiTheme="majorBidi" w:cstheme="majorBidi"/>
          <w:spacing w:val="-2"/>
          <w:highlight w:val="yellow"/>
        </w:rPr>
        <w:fldChar w:fldCharType="separate"/>
      </w:r>
      <w:r w:rsidRPr="00AC3F27">
        <w:rPr>
          <w:rFonts w:asciiTheme="majorBidi" w:hAnsiTheme="majorBidi" w:cstheme="majorBidi"/>
          <w:noProof/>
          <w:spacing w:val="-2"/>
          <w:highlight w:val="yellow"/>
        </w:rPr>
        <w:t>(10)</w:t>
      </w:r>
      <w:r w:rsidRPr="00AC3F27">
        <w:rPr>
          <w:rFonts w:asciiTheme="majorBidi" w:hAnsiTheme="majorBidi" w:cstheme="majorBidi"/>
          <w:spacing w:val="-2"/>
          <w:highlight w:val="yellow"/>
        </w:rPr>
        <w:fldChar w:fldCharType="end"/>
      </w:r>
      <w:r w:rsidRPr="00AC3F27">
        <w:rPr>
          <w:rFonts w:asciiTheme="majorBidi" w:hAnsiTheme="majorBidi" w:cstheme="majorBidi" w:hint="cs"/>
          <w:spacing w:val="-2"/>
          <w:highlight w:val="yellow"/>
          <w:rtl/>
        </w:rPr>
        <w:t>.</w:t>
      </w:r>
    </w:p>
    <w:p w14:paraId="0E38515F" w14:textId="77777777" w:rsidR="00853B1D" w:rsidRPr="00AC3F27" w:rsidRDefault="00853B1D" w:rsidP="00853B1D">
      <w:pPr>
        <w:autoSpaceDE w:val="0"/>
        <w:autoSpaceDN w:val="0"/>
        <w:adjustRightInd w:val="0"/>
        <w:spacing w:after="0" w:line="360" w:lineRule="auto"/>
        <w:jc w:val="both"/>
        <w:rPr>
          <w:rFonts w:asciiTheme="majorBidi" w:hAnsiTheme="majorBidi" w:cstheme="majorBidi"/>
          <w:spacing w:val="-2"/>
          <w:highlight w:val="yellow"/>
        </w:rPr>
      </w:pPr>
    </w:p>
    <w:p w14:paraId="219660E3" w14:textId="77777777" w:rsidR="00853B1D" w:rsidRPr="00C74F6D" w:rsidRDefault="00853B1D" w:rsidP="00853B1D">
      <w:pPr>
        <w:spacing w:after="0" w:line="460" w:lineRule="atLeast"/>
        <w:jc w:val="both"/>
        <w:rPr>
          <w:rFonts w:asciiTheme="majorBidi" w:hAnsiTheme="majorBidi" w:cstheme="majorBidi"/>
          <w:spacing w:val="-2"/>
        </w:rPr>
      </w:pPr>
      <w:r w:rsidRPr="00AC3F27">
        <w:rPr>
          <w:rFonts w:asciiTheme="majorBidi" w:hAnsiTheme="majorBidi" w:cstheme="majorBidi"/>
          <w:b/>
          <w:bCs/>
          <w:spacing w:val="-2"/>
          <w:highlight w:val="yellow"/>
        </w:rPr>
        <w:t xml:space="preserve">Conclusion: </w:t>
      </w:r>
      <w:r w:rsidRPr="00AC3F27">
        <w:rPr>
          <w:rFonts w:asciiTheme="majorBidi" w:hAnsiTheme="majorBidi" w:cstheme="majorBidi"/>
          <w:spacing w:val="-2"/>
          <w:highlight w:val="yellow"/>
        </w:rPr>
        <w:t>In this cross-sectional study from Southeast Iran, most OSCC cases presented at relatively advanced stages with large lesions and frequent involvement of the floor of the mouth. High rates of self-reported smokeless tobacco use were observed, alongside substantial delays in seeking care, particularly among older patients and smokers. While causality cannot be inferred, these findings highlight the need for public awareness programs, culturally tailored tobacco cessation initiatives, and improved referral systems to facilitate earlier diagnosis and management of OSCC in underserved regions.</w:t>
      </w:r>
    </w:p>
    <w:p w14:paraId="210FA0DC"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rPr>
      </w:pPr>
    </w:p>
    <w:p w14:paraId="6F9ADAD5"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rPr>
      </w:pPr>
    </w:p>
    <w:p w14:paraId="22C9FF16" w14:textId="77777777" w:rsidR="00853B1D" w:rsidRDefault="00853B1D" w:rsidP="00853B1D">
      <w:pPr>
        <w:spacing w:after="0" w:line="360" w:lineRule="auto"/>
        <w:jc w:val="both"/>
        <w:rPr>
          <w:rFonts w:asciiTheme="majorBidi" w:hAnsiTheme="majorBidi" w:cstheme="majorBidi"/>
          <w:b/>
          <w:bCs/>
          <w:spacing w:val="-2"/>
          <w:rtl/>
        </w:rPr>
      </w:pPr>
      <w:r w:rsidRPr="00C74F6D">
        <w:rPr>
          <w:rFonts w:asciiTheme="majorBidi" w:hAnsiTheme="majorBidi" w:cstheme="majorBidi"/>
          <w:b/>
          <w:bCs/>
          <w:spacing w:val="-2"/>
        </w:rPr>
        <w:t>Acknowledgments</w:t>
      </w:r>
    </w:p>
    <w:p w14:paraId="3A4BC370" w14:textId="77777777" w:rsidR="00853B1D" w:rsidRPr="00AC3F27" w:rsidRDefault="00853B1D" w:rsidP="00853B1D">
      <w:pPr>
        <w:spacing w:after="0" w:line="360" w:lineRule="auto"/>
        <w:rPr>
          <w:rFonts w:asciiTheme="majorBidi" w:hAnsiTheme="majorBidi" w:cstheme="majorBidi"/>
          <w:spacing w:val="-2"/>
          <w:highlight w:val="yellow"/>
          <w:rtl/>
        </w:rPr>
      </w:pPr>
      <w:r w:rsidRPr="00AC3F27">
        <w:rPr>
          <w:rFonts w:asciiTheme="majorBidi" w:hAnsiTheme="majorBidi" w:cstheme="majorBidi"/>
          <w:b/>
          <w:bCs/>
          <w:spacing w:val="-2"/>
          <w:highlight w:val="yellow"/>
        </w:rPr>
        <w:t>Ethical Considerations</w:t>
      </w:r>
      <w:r w:rsidRPr="00AC3F27">
        <w:rPr>
          <w:rFonts w:asciiTheme="majorBidi" w:hAnsiTheme="majorBidi" w:cstheme="majorBidi"/>
          <w:b/>
          <w:bCs/>
          <w:spacing w:val="-2"/>
          <w:highlight w:val="yellow"/>
        </w:rPr>
        <w:br/>
      </w:r>
      <w:r w:rsidRPr="00AC3F27">
        <w:rPr>
          <w:rFonts w:asciiTheme="majorBidi" w:hAnsiTheme="majorBidi" w:cstheme="majorBidi"/>
          <w:spacing w:val="-2"/>
          <w:highlight w:val="yellow"/>
        </w:rPr>
        <w:t>This study was approved by the Ethics Committee of Zahedan University of Medical Sciences (Approval No. IR.ZAUMS.REC.1400.100).</w:t>
      </w:r>
    </w:p>
    <w:p w14:paraId="07956E5E" w14:textId="77777777" w:rsidR="00853B1D" w:rsidRPr="00AC3F27" w:rsidRDefault="00853B1D" w:rsidP="00853B1D">
      <w:pPr>
        <w:spacing w:after="0" w:line="360" w:lineRule="auto"/>
        <w:rPr>
          <w:rFonts w:asciiTheme="majorBidi" w:hAnsiTheme="majorBidi" w:cstheme="majorBidi"/>
          <w:b/>
          <w:bCs/>
          <w:spacing w:val="-2"/>
          <w:highlight w:val="yellow"/>
        </w:rPr>
      </w:pPr>
      <w:r w:rsidRPr="00AC3F27">
        <w:rPr>
          <w:rFonts w:asciiTheme="majorBidi" w:hAnsiTheme="majorBidi" w:cstheme="majorBidi"/>
          <w:b/>
          <w:bCs/>
          <w:spacing w:val="-2"/>
          <w:highlight w:val="yellow"/>
        </w:rPr>
        <w:t>Authors’ Contributions</w:t>
      </w:r>
    </w:p>
    <w:p w14:paraId="6539A9EC" w14:textId="2527750B" w:rsidR="00853B1D" w:rsidRPr="00AC3F27" w:rsidRDefault="00853B1D" w:rsidP="00853B1D">
      <w:pPr>
        <w:numPr>
          <w:ilvl w:val="0"/>
          <w:numId w:val="1"/>
        </w:numPr>
        <w:spacing w:after="0" w:line="360" w:lineRule="auto"/>
        <w:rPr>
          <w:rFonts w:asciiTheme="majorBidi" w:hAnsiTheme="majorBidi" w:cstheme="majorBidi"/>
          <w:spacing w:val="-2"/>
          <w:highlight w:val="yellow"/>
        </w:rPr>
      </w:pPr>
      <w:r>
        <w:rPr>
          <w:rFonts w:asciiTheme="majorBidi" w:hAnsiTheme="majorBidi" w:cstheme="majorBidi"/>
          <w:spacing w:val="-2"/>
          <w:highlight w:val="yellow"/>
        </w:rPr>
        <w:t>XXXX</w:t>
      </w:r>
    </w:p>
    <w:p w14:paraId="7038BF6A" w14:textId="77777777" w:rsidR="00853B1D" w:rsidRPr="00AC3F27" w:rsidRDefault="00853B1D" w:rsidP="00853B1D">
      <w:pPr>
        <w:spacing w:after="0" w:line="360" w:lineRule="auto"/>
        <w:jc w:val="both"/>
        <w:rPr>
          <w:rFonts w:asciiTheme="majorBidi" w:hAnsiTheme="majorBidi" w:cstheme="majorBidi"/>
          <w:b/>
          <w:bCs/>
          <w:spacing w:val="-2"/>
        </w:rPr>
      </w:pPr>
      <w:r w:rsidRPr="00AC3F27">
        <w:rPr>
          <w:rFonts w:asciiTheme="majorBidi" w:hAnsiTheme="majorBidi" w:cstheme="majorBidi"/>
          <w:b/>
          <w:bCs/>
          <w:spacing w:val="-2"/>
        </w:rPr>
        <w:t>Funding</w:t>
      </w:r>
    </w:p>
    <w:p w14:paraId="4C1428F0" w14:textId="77777777" w:rsidR="00853B1D" w:rsidRPr="00AC3F27" w:rsidRDefault="00853B1D" w:rsidP="00853B1D">
      <w:pPr>
        <w:spacing w:after="0" w:line="460" w:lineRule="atLeast"/>
        <w:jc w:val="both"/>
        <w:rPr>
          <w:rFonts w:asciiTheme="majorBidi" w:hAnsiTheme="majorBidi" w:cstheme="majorBidi"/>
          <w:spacing w:val="-2"/>
        </w:rPr>
      </w:pPr>
      <w:r w:rsidRPr="00AC3F27">
        <w:rPr>
          <w:rFonts w:asciiTheme="majorBidi" w:hAnsiTheme="majorBidi" w:cstheme="majorBidi"/>
          <w:spacing w:val="-2"/>
        </w:rPr>
        <w:t xml:space="preserve">The authors thank Zahedan University of Medical Sciences for their approval to conduct this project. Zahedan Dental School provided the equipment that was required for diagnosing Oral Squamous Cell Carcinoma; otherwise, they didn’t have any involvement in the conduction and submission of the article. </w:t>
      </w:r>
    </w:p>
    <w:p w14:paraId="3C735A87" w14:textId="77777777" w:rsidR="00853B1D" w:rsidRPr="00AC3F27" w:rsidRDefault="00853B1D" w:rsidP="00853B1D">
      <w:pPr>
        <w:spacing w:after="0" w:line="460" w:lineRule="atLeast"/>
        <w:jc w:val="both"/>
        <w:rPr>
          <w:rFonts w:asciiTheme="majorBidi" w:hAnsiTheme="majorBidi" w:cstheme="majorBidi"/>
          <w:b/>
          <w:bCs/>
          <w:spacing w:val="-2"/>
        </w:rPr>
      </w:pPr>
      <w:r w:rsidRPr="00AC3F27">
        <w:rPr>
          <w:rFonts w:asciiTheme="majorBidi" w:hAnsiTheme="majorBidi" w:cstheme="majorBidi"/>
          <w:b/>
          <w:bCs/>
          <w:spacing w:val="-2"/>
        </w:rPr>
        <w:t>Data Availability</w:t>
      </w:r>
    </w:p>
    <w:p w14:paraId="3064B0A1" w14:textId="77777777" w:rsidR="00853B1D" w:rsidRPr="00AC3F27" w:rsidRDefault="00853B1D" w:rsidP="00853B1D">
      <w:pPr>
        <w:spacing w:after="0" w:line="460" w:lineRule="atLeast"/>
        <w:jc w:val="both"/>
        <w:rPr>
          <w:rFonts w:asciiTheme="majorBidi" w:hAnsiTheme="majorBidi" w:cstheme="majorBidi"/>
          <w:spacing w:val="-2"/>
        </w:rPr>
      </w:pPr>
      <w:r w:rsidRPr="00AC3F27">
        <w:rPr>
          <w:rFonts w:asciiTheme="majorBidi" w:hAnsiTheme="majorBidi" w:cstheme="majorBidi"/>
          <w:spacing w:val="-2"/>
        </w:rPr>
        <w:t>The supporting data of the study can be found at the Zahedan School of Dentistry, Zahedan, Iran.</w:t>
      </w:r>
    </w:p>
    <w:p w14:paraId="21D8E42F" w14:textId="77777777" w:rsidR="00853B1D" w:rsidRPr="00AC3F27" w:rsidRDefault="00853B1D" w:rsidP="00853B1D">
      <w:pPr>
        <w:spacing w:after="0" w:line="460" w:lineRule="atLeast"/>
        <w:jc w:val="both"/>
        <w:rPr>
          <w:rFonts w:asciiTheme="majorBidi" w:hAnsiTheme="majorBidi" w:cstheme="majorBidi"/>
          <w:spacing w:val="-2"/>
        </w:rPr>
      </w:pPr>
      <w:r w:rsidRPr="00AC3F27">
        <w:rPr>
          <w:rFonts w:asciiTheme="majorBidi" w:hAnsiTheme="majorBidi" w:cstheme="majorBidi"/>
          <w:b/>
          <w:bCs/>
          <w:spacing w:val="-2"/>
        </w:rPr>
        <w:t>Conflict of Interest:</w:t>
      </w:r>
      <w:r w:rsidRPr="00AC3F27">
        <w:rPr>
          <w:rFonts w:asciiTheme="majorBidi" w:hAnsiTheme="majorBidi" w:cstheme="majorBidi"/>
          <w:spacing w:val="-2"/>
        </w:rPr>
        <w:t xml:space="preserve"> The authors declare no conflict of interest.</w:t>
      </w:r>
    </w:p>
    <w:p w14:paraId="18B6B4CB" w14:textId="77777777" w:rsidR="00853B1D" w:rsidRPr="00C74F6D" w:rsidRDefault="00853B1D" w:rsidP="00853B1D">
      <w:pPr>
        <w:pStyle w:val="Heading1"/>
        <w:spacing w:before="0" w:after="0" w:line="360" w:lineRule="auto"/>
        <w:jc w:val="both"/>
        <w:rPr>
          <w:rFonts w:asciiTheme="majorBidi" w:hAnsiTheme="majorBidi"/>
          <w:b/>
          <w:bCs/>
          <w:color w:val="auto"/>
          <w:spacing w:val="-2"/>
          <w:sz w:val="24"/>
          <w:szCs w:val="24"/>
        </w:rPr>
      </w:pPr>
    </w:p>
    <w:p w14:paraId="3442A1CB" w14:textId="77777777" w:rsidR="00853B1D" w:rsidRPr="00AC3F27" w:rsidRDefault="00853B1D" w:rsidP="00853B1D">
      <w:pPr>
        <w:pStyle w:val="Heading1"/>
        <w:spacing w:before="0" w:after="0" w:line="360" w:lineRule="auto"/>
        <w:jc w:val="both"/>
        <w:rPr>
          <w:rFonts w:asciiTheme="majorBidi" w:hAnsiTheme="majorBidi"/>
          <w:b/>
          <w:bCs/>
          <w:color w:val="auto"/>
          <w:spacing w:val="-2"/>
          <w:sz w:val="24"/>
          <w:szCs w:val="24"/>
        </w:rPr>
      </w:pPr>
      <w:r w:rsidRPr="00C74F6D">
        <w:rPr>
          <w:rFonts w:asciiTheme="majorBidi" w:hAnsiTheme="majorBidi"/>
          <w:b/>
          <w:bCs/>
          <w:color w:val="auto"/>
          <w:spacing w:val="-2"/>
          <w:sz w:val="24"/>
          <w:szCs w:val="24"/>
        </w:rPr>
        <w:t>References</w:t>
      </w:r>
    </w:p>
    <w:p w14:paraId="7B45BE9C" w14:textId="77777777" w:rsidR="00853B1D" w:rsidRPr="00042EFB" w:rsidRDefault="00853B1D" w:rsidP="00853B1D">
      <w:pPr>
        <w:pStyle w:val="EndNoteBibliography"/>
        <w:spacing w:after="0"/>
      </w:pPr>
      <w:r>
        <w:rPr>
          <w:spacing w:val="-2"/>
        </w:rPr>
        <w:fldChar w:fldCharType="begin"/>
      </w:r>
      <w:r>
        <w:rPr>
          <w:spacing w:val="-2"/>
        </w:rPr>
        <w:instrText xml:space="preserve"> ADDIN EN.REFLIST </w:instrText>
      </w:r>
      <w:r>
        <w:rPr>
          <w:spacing w:val="-2"/>
        </w:rPr>
        <w:fldChar w:fldCharType="separate"/>
      </w:r>
      <w:r w:rsidRPr="00042EFB">
        <w:t>1.</w:t>
      </w:r>
      <w:r w:rsidRPr="00042EFB">
        <w:tab/>
        <w:t>Badwelan M, Muaddi H, Ahmed A, Lee KT, Tran SD. Oral Squamous Cell Carcinoma and Concomitant Primary Tumors, What Do We Know? A Review of the Literature. Curr Oncol. 2023;30(4):3721-34.</w:t>
      </w:r>
    </w:p>
    <w:p w14:paraId="3DAE6D05" w14:textId="77777777" w:rsidR="00853B1D" w:rsidRPr="00042EFB" w:rsidRDefault="00853B1D" w:rsidP="00853B1D">
      <w:pPr>
        <w:pStyle w:val="EndNoteBibliography"/>
        <w:spacing w:after="0"/>
      </w:pPr>
      <w:r w:rsidRPr="00042EFB">
        <w:t>2.</w:t>
      </w:r>
      <w:r w:rsidRPr="00042EFB">
        <w:tab/>
        <w:t>Neville BW, Damm DD, Allen CM, Chi AC. Oral and maxillofacial pathology: Elsevier Health Sciences; 2015.</w:t>
      </w:r>
    </w:p>
    <w:p w14:paraId="67992684" w14:textId="77777777" w:rsidR="00853B1D" w:rsidRPr="00042EFB" w:rsidRDefault="00853B1D" w:rsidP="00853B1D">
      <w:pPr>
        <w:pStyle w:val="EndNoteBibliography"/>
        <w:spacing w:after="0"/>
      </w:pPr>
      <w:r w:rsidRPr="00042EFB">
        <w:t>3.</w:t>
      </w:r>
      <w:r w:rsidRPr="00042EFB">
        <w:tab/>
        <w:t>Glick M, Greenberg MS, Lockhart PB, Challacombe SJ. Introduction to oral medicine and oral diagnosis: patient evaluation. Burket's Oral Medicine. 2021:1-18.</w:t>
      </w:r>
    </w:p>
    <w:p w14:paraId="79677DA7" w14:textId="77777777" w:rsidR="00853B1D" w:rsidRPr="00042EFB" w:rsidRDefault="00853B1D" w:rsidP="00853B1D">
      <w:pPr>
        <w:pStyle w:val="EndNoteBibliography"/>
        <w:spacing w:after="0"/>
      </w:pPr>
      <w:r w:rsidRPr="00042EFB">
        <w:t>4.</w:t>
      </w:r>
      <w:r w:rsidRPr="00042EFB">
        <w:tab/>
        <w:t>Dalirsani Z, Ghazi A, Pakfetrat A, Jamali J, Foroughi Z, Mirzaei M. The relationship between smokeless tobacco and the incidence of oral cancer: a systematic review study. Addiction &amp; Health. 2025;17(1):1-15.</w:t>
      </w:r>
    </w:p>
    <w:p w14:paraId="124C587F" w14:textId="77777777" w:rsidR="00853B1D" w:rsidRPr="00042EFB" w:rsidRDefault="00853B1D" w:rsidP="00853B1D">
      <w:pPr>
        <w:pStyle w:val="EndNoteBibliography"/>
        <w:spacing w:after="0"/>
      </w:pPr>
      <w:r w:rsidRPr="00042EFB">
        <w:t>5.</w:t>
      </w:r>
      <w:r w:rsidRPr="00042EFB">
        <w:tab/>
        <w:t>Kawczak P, Feszak I, Bączek T. Comparative Mechanistic Insights and Therapeutic Potential of Pembrolizumab, Durvalumab, and Ipilimumab in the Targeted Management of Oral and Head and Neck Squamous Cell Carcinoma. Cancers 2025, 17, 2805. h ps. doi org/103390/cancers17172805.</w:t>
      </w:r>
    </w:p>
    <w:p w14:paraId="15EBB81C" w14:textId="77777777" w:rsidR="00853B1D" w:rsidRPr="00042EFB" w:rsidRDefault="00853B1D" w:rsidP="00853B1D">
      <w:pPr>
        <w:pStyle w:val="EndNoteBibliography"/>
        <w:spacing w:after="0"/>
      </w:pPr>
      <w:r w:rsidRPr="00042EFB">
        <w:t>6.</w:t>
      </w:r>
      <w:r w:rsidRPr="00042EFB">
        <w:tab/>
        <w:t>Kijowska J, Grzegorczyk J, Gliwa K, Jędras A, Sitarz M. Epidemiology, Diagnostics, and Therapy of Oral Cancer—Update Review. Cancers. 2024;16(18):3156.</w:t>
      </w:r>
    </w:p>
    <w:p w14:paraId="0F02D7F3" w14:textId="77777777" w:rsidR="00853B1D" w:rsidRPr="00042EFB" w:rsidRDefault="00853B1D" w:rsidP="00853B1D">
      <w:pPr>
        <w:pStyle w:val="EndNoteBibliography"/>
        <w:spacing w:after="0"/>
      </w:pPr>
      <w:r w:rsidRPr="00042EFB">
        <w:lastRenderedPageBreak/>
        <w:t>7.</w:t>
      </w:r>
      <w:r w:rsidRPr="00042EFB">
        <w:tab/>
        <w:t>Bray F, Laversanne M, Sung H, Ferlay J, Siegel RL, Soerjomataram I, et al. Global cancer statistics 2022: GLOBOCAN estimates of incidence and mortality worldwide for 36 cancers in 185 countries. CA: a cancer journal for clinicians. 2024;74(3):229-63.</w:t>
      </w:r>
    </w:p>
    <w:p w14:paraId="7B234D94" w14:textId="77777777" w:rsidR="00853B1D" w:rsidRPr="00042EFB" w:rsidRDefault="00853B1D" w:rsidP="00853B1D">
      <w:pPr>
        <w:pStyle w:val="EndNoteBibliography"/>
        <w:spacing w:after="0"/>
      </w:pPr>
      <w:r w:rsidRPr="00042EFB">
        <w:t>8.</w:t>
      </w:r>
      <w:r w:rsidRPr="00042EFB">
        <w:tab/>
        <w:t>Wong T, Wiesenfeld D. Oral cancer. Australian dental journal. 2018;63:S91-S9.</w:t>
      </w:r>
    </w:p>
    <w:p w14:paraId="146431D6" w14:textId="77777777" w:rsidR="00853B1D" w:rsidRPr="00042EFB" w:rsidRDefault="00853B1D" w:rsidP="00853B1D">
      <w:pPr>
        <w:pStyle w:val="EndNoteBibliography"/>
        <w:spacing w:after="0"/>
      </w:pPr>
      <w:r w:rsidRPr="00042EFB">
        <w:t>9.</w:t>
      </w:r>
      <w:r w:rsidRPr="00042EFB">
        <w:tab/>
        <w:t>Mahmood BJ, Gataa IS, Mustafa UM. Clinicopathological presentation of oral squamous cell carcinoma in Iraqi population. Journal of Craniomaxillofacial Research. 2021.</w:t>
      </w:r>
    </w:p>
    <w:p w14:paraId="62D89703" w14:textId="77777777" w:rsidR="00853B1D" w:rsidRPr="00042EFB" w:rsidRDefault="00853B1D" w:rsidP="00853B1D">
      <w:pPr>
        <w:pStyle w:val="EndNoteBibliography"/>
        <w:spacing w:after="0"/>
      </w:pPr>
      <w:r w:rsidRPr="00042EFB">
        <w:t>10.</w:t>
      </w:r>
      <w:r w:rsidRPr="00042EFB">
        <w:tab/>
        <w:t>Rumgay H, Nethan ST, Shah R, Vignat J, Ayo-Yusuf O, Chaturvedi P, et al. Global burden of oral cancer in 2022 attributable to smokeless tobacco and areca nut consumption: a population attributable fraction analysis. The Lancet Oncology. 2024;25(11):1413-23.</w:t>
      </w:r>
    </w:p>
    <w:p w14:paraId="2A2637BE" w14:textId="77777777" w:rsidR="00853B1D" w:rsidRPr="00042EFB" w:rsidRDefault="00853B1D" w:rsidP="00853B1D">
      <w:pPr>
        <w:pStyle w:val="EndNoteBibliography"/>
        <w:spacing w:after="0"/>
      </w:pPr>
      <w:r w:rsidRPr="00042EFB">
        <w:t>11.</w:t>
      </w:r>
      <w:r w:rsidRPr="00042EFB">
        <w:tab/>
        <w:t>Katirachi SK, Grønlund MP, Jakobsen KK, Grønhøj C, von Buchwald C. The prevalence of HPV in oral cavity squamous cell carcinoma. Viruses. 2023;15(2):451.</w:t>
      </w:r>
    </w:p>
    <w:p w14:paraId="17352BD9" w14:textId="77777777" w:rsidR="00853B1D" w:rsidRPr="00042EFB" w:rsidRDefault="00853B1D" w:rsidP="00853B1D">
      <w:pPr>
        <w:pStyle w:val="EndNoteBibliography"/>
        <w:spacing w:after="0"/>
      </w:pPr>
      <w:r w:rsidRPr="00042EFB">
        <w:t>12.</w:t>
      </w:r>
      <w:r w:rsidRPr="00042EFB">
        <w:tab/>
        <w:t>Louredo BVR, Vargas PA, Pérez-de-Oliveira ME, Lopes MA, Kowalski LP, Curado MP. Epidemiology and survival outcomes of lip, oral cavity, and oropharyngeal squamous cell carcinoma in a southeast Brazilian population. Medicina oral, patologia oral y cirugia bucal. 2022;27(3):e274.</w:t>
      </w:r>
    </w:p>
    <w:p w14:paraId="6DDFE3AB" w14:textId="77777777" w:rsidR="00853B1D" w:rsidRPr="00042EFB" w:rsidRDefault="00853B1D" w:rsidP="00853B1D">
      <w:pPr>
        <w:pStyle w:val="EndNoteBibliography"/>
        <w:spacing w:after="0"/>
      </w:pPr>
      <w:r w:rsidRPr="00042EFB">
        <w:t>13.</w:t>
      </w:r>
      <w:r w:rsidRPr="00042EFB">
        <w:tab/>
        <w:t>Solhi M, Fattahi E, Barati H, Mohammadi M, Kasmaei P, Rastaghi S. Smokeless tobacco use in Iran: a systematic review. Addiction &amp; Health. 2020;12(3):225.</w:t>
      </w:r>
    </w:p>
    <w:p w14:paraId="412E0E08" w14:textId="77777777" w:rsidR="00853B1D" w:rsidRPr="00042EFB" w:rsidRDefault="00853B1D" w:rsidP="00853B1D">
      <w:pPr>
        <w:pStyle w:val="EndNoteBibliography"/>
        <w:spacing w:after="0"/>
      </w:pPr>
      <w:r w:rsidRPr="00042EFB">
        <w:t>14.</w:t>
      </w:r>
      <w:r w:rsidRPr="00042EFB">
        <w:tab/>
        <w:t>Badri P, Lai H, Ganatra S, Baracos V, Amin M. Factors Associated with oral cancerous and precancerous lesions in an Underserved Community: a cross-sectional study. International Journal of Environmental Research and Public Health. 2022;19(3):1297.</w:t>
      </w:r>
    </w:p>
    <w:p w14:paraId="1EDD2CF0" w14:textId="77777777" w:rsidR="00853B1D" w:rsidRPr="00042EFB" w:rsidRDefault="00853B1D" w:rsidP="00853B1D">
      <w:pPr>
        <w:pStyle w:val="EndNoteBibliography"/>
        <w:spacing w:after="0"/>
      </w:pPr>
      <w:r w:rsidRPr="00042EFB">
        <w:t>15.</w:t>
      </w:r>
      <w:r w:rsidRPr="00042EFB">
        <w:tab/>
        <w:t>Colares N, Souza Rodrigues DF, Freitas MO, Dantas TS, Cunha M, Sousa FB, et al. Smoking History Decreases Survival in Patients with Squamous Cell Carcinoma of the Mouth: A Retrospective Study with 15 Years of Follow-up. Asian Pac J Cancer Prev. 2019;20(6):1781-7.</w:t>
      </w:r>
    </w:p>
    <w:p w14:paraId="2611B979" w14:textId="77777777" w:rsidR="00853B1D" w:rsidRPr="00042EFB" w:rsidRDefault="00853B1D" w:rsidP="00853B1D">
      <w:pPr>
        <w:pStyle w:val="EndNoteBibliography"/>
        <w:spacing w:after="0"/>
      </w:pPr>
      <w:r w:rsidRPr="00042EFB">
        <w:t>16.</w:t>
      </w:r>
      <w:r w:rsidRPr="00042EFB">
        <w:tab/>
        <w:t>Toralla O, Lopez Jornet P, Pons-Fuster E. The effect of an informative video upon anxiety and stress in patients requiring an oral biopsy: A randomized controlled study. International Journal of Environmental Research and Public Health. 2022;19(2):783.</w:t>
      </w:r>
    </w:p>
    <w:p w14:paraId="110518F9" w14:textId="77777777" w:rsidR="00853B1D" w:rsidRPr="00042EFB" w:rsidRDefault="00853B1D" w:rsidP="00853B1D">
      <w:pPr>
        <w:pStyle w:val="EndNoteBibliography"/>
        <w:spacing w:after="0"/>
      </w:pPr>
      <w:r w:rsidRPr="00042EFB">
        <w:t>17.</w:t>
      </w:r>
      <w:r w:rsidRPr="00042EFB">
        <w:tab/>
        <w:t>Graboyes EM, Kompelli AR, Neskey DM, Brennan E, Nguyen S, Sterba KR, et al. Association of treatment delays with survival for patients with head and neck cancer: a systematic review. JAMA otolaryngology–head &amp; neck surgery. 2019;145(2):166-77.</w:t>
      </w:r>
    </w:p>
    <w:p w14:paraId="0B9BBCE9" w14:textId="77777777" w:rsidR="00853B1D" w:rsidRPr="00042EFB" w:rsidRDefault="00853B1D" w:rsidP="00853B1D">
      <w:pPr>
        <w:pStyle w:val="EndNoteBibliography"/>
        <w:spacing w:after="0"/>
      </w:pPr>
      <w:r w:rsidRPr="00042EFB">
        <w:t>18.</w:t>
      </w:r>
      <w:r w:rsidRPr="00042EFB">
        <w:tab/>
        <w:t>da Cunha Lima AM, Meira IA, Soares MSM, Bonan PRF, Melo CB, Dalle Piagge CSL. Delay in diagnosis of oral cancer: a systematic review. Medicina oral, patologia oral y cirugia bucal. 2021;26(6):e815.</w:t>
      </w:r>
    </w:p>
    <w:p w14:paraId="70AAEFD0" w14:textId="77777777" w:rsidR="00853B1D" w:rsidRPr="00042EFB" w:rsidRDefault="00853B1D" w:rsidP="00853B1D">
      <w:pPr>
        <w:pStyle w:val="EndNoteBibliography"/>
        <w:spacing w:after="0"/>
      </w:pPr>
      <w:r w:rsidRPr="00042EFB">
        <w:t>19.</w:t>
      </w:r>
      <w:r w:rsidRPr="00042EFB">
        <w:tab/>
        <w:t>Anwar N, Chundriger Q, Awan S, Moatter T, Ali TS, Abdul Rasheed M, et al. Prevalence of high-risk human papillomavirus in oral squamous cell carcinoma with or without chewing habits. Plos one. 2024;19(5):e0300354.</w:t>
      </w:r>
    </w:p>
    <w:p w14:paraId="68BEEF1A" w14:textId="77777777" w:rsidR="00853B1D" w:rsidRPr="00042EFB" w:rsidRDefault="00853B1D" w:rsidP="00853B1D">
      <w:pPr>
        <w:pStyle w:val="EndNoteBibliography"/>
      </w:pPr>
      <w:r w:rsidRPr="00042EFB">
        <w:t>20.</w:t>
      </w:r>
      <w:r w:rsidRPr="00042EFB">
        <w:tab/>
        <w:t>Ha PK, Califano JA. The role of human papillomavirus in oral carcinogenesis. Critical Reviews in Oral Biology &amp; Medicine. 2004;15(4):188-96.</w:t>
      </w:r>
    </w:p>
    <w:p w14:paraId="7FE7B20D"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spacing w:val="-2"/>
        </w:rPr>
      </w:pPr>
      <w:r>
        <w:rPr>
          <w:spacing w:val="-2"/>
        </w:rPr>
        <w:fldChar w:fldCharType="end"/>
      </w:r>
      <w:r w:rsidRPr="00AC3F27">
        <w:rPr>
          <w:rFonts w:asciiTheme="majorBidi" w:hAnsiTheme="majorBidi" w:cstheme="majorBidi"/>
          <w:b/>
          <w:bCs/>
          <w:spacing w:val="-2"/>
          <w:highlight w:val="yellow"/>
        </w:rPr>
        <w:t xml:space="preserve">Figure 1: </w:t>
      </w:r>
      <w:r w:rsidRPr="00AC3F27">
        <w:rPr>
          <w:rFonts w:asciiTheme="majorBidi" w:hAnsiTheme="majorBidi" w:cstheme="majorBidi"/>
          <w:spacing w:val="-2"/>
          <w:highlight w:val="yellow"/>
        </w:rPr>
        <w:t>Distribution of some of the most common risk factors among patients with Oral Squamous Cell Carcinoma in Zahedan, Southeast of Iran, in 2021 and 2023</w:t>
      </w:r>
    </w:p>
    <w:p w14:paraId="76A6955B"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sz w:val="14"/>
          <w:szCs w:val="14"/>
        </w:rPr>
      </w:pPr>
    </w:p>
    <w:p w14:paraId="6FBCAEFB"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sz w:val="14"/>
          <w:szCs w:val="14"/>
        </w:rPr>
      </w:pPr>
    </w:p>
    <w:p w14:paraId="3491B4D1"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sz w:val="14"/>
          <w:szCs w:val="14"/>
        </w:rPr>
      </w:pPr>
      <w:r w:rsidRPr="00C74F6D">
        <w:rPr>
          <w:rFonts w:asciiTheme="majorBidi" w:hAnsiTheme="majorBidi" w:cstheme="majorBidi"/>
          <w:noProof/>
          <w:spacing w:val="-2"/>
          <w:sz w:val="14"/>
          <w:szCs w:val="14"/>
        </w:rPr>
        <w:drawing>
          <wp:inline distT="0" distB="0" distL="0" distR="0" wp14:anchorId="36637916" wp14:editId="2129118B">
            <wp:extent cx="5486400" cy="3200400"/>
            <wp:effectExtent l="0" t="0" r="0" b="0"/>
            <wp:docPr id="20837981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D2837A"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b/>
          <w:bCs/>
          <w:spacing w:val="-2"/>
        </w:rPr>
      </w:pPr>
    </w:p>
    <w:p w14:paraId="2B0AB916"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b/>
          <w:bCs/>
          <w:spacing w:val="-2"/>
        </w:rPr>
      </w:pPr>
    </w:p>
    <w:p w14:paraId="556B4BB2" w14:textId="77777777" w:rsidR="00853B1D" w:rsidRPr="00C74F6D" w:rsidRDefault="00853B1D" w:rsidP="00853B1D">
      <w:pPr>
        <w:autoSpaceDE w:val="0"/>
        <w:autoSpaceDN w:val="0"/>
        <w:adjustRightInd w:val="0"/>
        <w:spacing w:after="0" w:line="340" w:lineRule="atLeast"/>
        <w:jc w:val="both"/>
        <w:rPr>
          <w:rFonts w:asciiTheme="majorBidi" w:hAnsiTheme="majorBidi" w:cstheme="majorBidi"/>
          <w:spacing w:val="-2"/>
        </w:rPr>
      </w:pPr>
      <w:r w:rsidRPr="00AC3F27">
        <w:rPr>
          <w:rFonts w:asciiTheme="majorBidi" w:hAnsiTheme="majorBidi" w:cstheme="majorBidi"/>
          <w:b/>
          <w:bCs/>
          <w:spacing w:val="-2"/>
          <w:highlight w:val="yellow"/>
        </w:rPr>
        <w:t>Figure 2.</w:t>
      </w:r>
      <w:r w:rsidRPr="00C74F6D">
        <w:rPr>
          <w:rFonts w:asciiTheme="majorBidi" w:hAnsiTheme="majorBidi" w:cstheme="majorBidi"/>
          <w:spacing w:val="-2"/>
        </w:rPr>
        <w:t xml:space="preserve"> Distribution of intra-oral location of the lesions </w:t>
      </w:r>
      <w:r>
        <w:rPr>
          <w:rFonts w:asciiTheme="majorBidi" w:hAnsiTheme="majorBidi" w:cstheme="majorBidi"/>
          <w:spacing w:val="-2"/>
        </w:rPr>
        <w:t xml:space="preserve">in </w:t>
      </w:r>
      <w:r w:rsidRPr="00C74F6D">
        <w:rPr>
          <w:rFonts w:asciiTheme="majorBidi" w:hAnsiTheme="majorBidi" w:cstheme="majorBidi"/>
          <w:spacing w:val="-2"/>
        </w:rPr>
        <w:t>patients with Oral Squamous Cell Carcinoma in Zahedan, Southeast of Iran</w:t>
      </w:r>
      <w:r>
        <w:rPr>
          <w:rFonts w:asciiTheme="majorBidi" w:hAnsiTheme="majorBidi" w:cstheme="majorBidi"/>
          <w:spacing w:val="-2"/>
        </w:rPr>
        <w:t>,</w:t>
      </w:r>
      <w:r w:rsidRPr="00C74F6D">
        <w:rPr>
          <w:rFonts w:asciiTheme="majorBidi" w:hAnsiTheme="majorBidi" w:cstheme="majorBidi"/>
          <w:spacing w:val="-2"/>
        </w:rPr>
        <w:t xml:space="preserve"> in </w:t>
      </w:r>
      <w:r>
        <w:rPr>
          <w:rFonts w:asciiTheme="majorBidi" w:hAnsiTheme="majorBidi" w:cstheme="majorBidi"/>
          <w:spacing w:val="-2"/>
        </w:rPr>
        <w:t>2021 and 2023</w:t>
      </w:r>
    </w:p>
    <w:p w14:paraId="1043C92E" w14:textId="77777777" w:rsidR="00853B1D" w:rsidRPr="00C74F6D" w:rsidRDefault="00853B1D" w:rsidP="00853B1D">
      <w:pPr>
        <w:autoSpaceDE w:val="0"/>
        <w:autoSpaceDN w:val="0"/>
        <w:adjustRightInd w:val="0"/>
        <w:spacing w:after="0" w:line="340" w:lineRule="atLeast"/>
        <w:jc w:val="both"/>
        <w:rPr>
          <w:rFonts w:asciiTheme="majorBidi" w:hAnsiTheme="majorBidi" w:cstheme="majorBidi"/>
          <w:b/>
          <w:bCs/>
          <w:spacing w:val="-2"/>
        </w:rPr>
      </w:pPr>
    </w:p>
    <w:p w14:paraId="13899134" w14:textId="77777777" w:rsidR="00853B1D" w:rsidRPr="00C74F6D" w:rsidRDefault="00853B1D" w:rsidP="00853B1D">
      <w:pPr>
        <w:autoSpaceDE w:val="0"/>
        <w:autoSpaceDN w:val="0"/>
        <w:adjustRightInd w:val="0"/>
        <w:spacing w:after="0" w:line="340" w:lineRule="atLeast"/>
        <w:jc w:val="both"/>
        <w:rPr>
          <w:rFonts w:asciiTheme="majorBidi" w:hAnsiTheme="majorBidi" w:cstheme="majorBidi"/>
          <w:b/>
          <w:bCs/>
          <w:spacing w:val="-2"/>
        </w:rPr>
      </w:pPr>
      <w:r w:rsidRPr="00C74F6D">
        <w:rPr>
          <w:rFonts w:asciiTheme="majorBidi" w:hAnsiTheme="majorBidi" w:cstheme="majorBidi"/>
          <w:b/>
          <w:bCs/>
          <w:noProof/>
          <w:spacing w:val="-2"/>
        </w:rPr>
        <w:drawing>
          <wp:inline distT="0" distB="0" distL="0" distR="0" wp14:anchorId="3F92BF16" wp14:editId="7BB994AB">
            <wp:extent cx="5486400" cy="3200400"/>
            <wp:effectExtent l="0" t="0" r="0" b="0"/>
            <wp:docPr id="2165271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9420CE"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b/>
          <w:bCs/>
          <w:spacing w:val="-2"/>
        </w:rPr>
      </w:pPr>
    </w:p>
    <w:p w14:paraId="10BB390F"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b/>
          <w:bCs/>
          <w:spacing w:val="-2"/>
        </w:rPr>
      </w:pPr>
    </w:p>
    <w:p w14:paraId="7988AD18"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b/>
          <w:bCs/>
          <w:spacing w:val="-2"/>
        </w:rPr>
      </w:pPr>
    </w:p>
    <w:p w14:paraId="0B6557D9"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spacing w:val="-2"/>
        </w:rPr>
      </w:pPr>
      <w:r w:rsidRPr="00C74F6D">
        <w:rPr>
          <w:rFonts w:asciiTheme="majorBidi" w:hAnsiTheme="majorBidi" w:cstheme="majorBidi"/>
          <w:b/>
          <w:bCs/>
          <w:spacing w:val="-2"/>
        </w:rPr>
        <w:t>Table 1:</w:t>
      </w:r>
      <w:r w:rsidRPr="00C74F6D">
        <w:rPr>
          <w:rFonts w:asciiTheme="majorBidi" w:hAnsiTheme="majorBidi" w:cstheme="majorBidi"/>
          <w:spacing w:val="-2"/>
        </w:rPr>
        <w:t xml:space="preserve"> Demographic characteristics of the patients with Oral Squamous Cell Carcinoma in Zahedan, Southeast of Iran in </w:t>
      </w:r>
      <w:r>
        <w:rPr>
          <w:rFonts w:asciiTheme="majorBidi" w:hAnsiTheme="majorBidi" w:cstheme="majorBidi"/>
          <w:spacing w:val="-2"/>
        </w:rPr>
        <w:t>2021 and 2023</w:t>
      </w:r>
    </w:p>
    <w:tbl>
      <w:tblPr>
        <w:tblStyle w:val="TableGrid"/>
        <w:tblW w:w="6911" w:type="dxa"/>
        <w:tblLayout w:type="fixed"/>
        <w:tblLook w:val="0000" w:firstRow="0" w:lastRow="0" w:firstColumn="0" w:lastColumn="0" w:noHBand="0" w:noVBand="0"/>
      </w:tblPr>
      <w:tblGrid>
        <w:gridCol w:w="2880"/>
        <w:gridCol w:w="960"/>
        <w:gridCol w:w="852"/>
        <w:gridCol w:w="1031"/>
        <w:gridCol w:w="1188"/>
      </w:tblGrid>
      <w:tr w:rsidR="00853B1D" w:rsidRPr="00C74F6D" w14:paraId="6D17F572" w14:textId="77777777" w:rsidTr="00F8261F">
        <w:trPr>
          <w:trHeight w:val="50"/>
        </w:trPr>
        <w:tc>
          <w:tcPr>
            <w:tcW w:w="2880" w:type="dxa"/>
          </w:tcPr>
          <w:p w14:paraId="49E7E97C" w14:textId="77777777" w:rsidR="00853B1D" w:rsidRPr="00C74F6D" w:rsidRDefault="00853B1D" w:rsidP="00F8261F">
            <w:pPr>
              <w:autoSpaceDE w:val="0"/>
              <w:autoSpaceDN w:val="0"/>
              <w:adjustRightInd w:val="0"/>
              <w:spacing w:line="320" w:lineRule="atLeast"/>
              <w:jc w:val="both"/>
              <w:rPr>
                <w:rFonts w:asciiTheme="majorBidi" w:hAnsiTheme="majorBidi" w:cstheme="majorBidi"/>
                <w:b/>
                <w:bCs/>
                <w:spacing w:val="-2"/>
              </w:rPr>
            </w:pPr>
          </w:p>
        </w:tc>
        <w:tc>
          <w:tcPr>
            <w:tcW w:w="960" w:type="dxa"/>
            <w:vAlign w:val="center"/>
          </w:tcPr>
          <w:p w14:paraId="60F52917" w14:textId="77777777" w:rsidR="00853B1D" w:rsidRPr="00C74F6D" w:rsidRDefault="00853B1D" w:rsidP="00F8261F">
            <w:pPr>
              <w:autoSpaceDE w:val="0"/>
              <w:autoSpaceDN w:val="0"/>
              <w:adjustRightInd w:val="0"/>
              <w:spacing w:line="320" w:lineRule="atLeast"/>
              <w:jc w:val="both"/>
              <w:rPr>
                <w:rFonts w:asciiTheme="majorBidi" w:hAnsiTheme="majorBidi" w:cstheme="majorBidi"/>
                <w:b/>
                <w:bCs/>
                <w:spacing w:val="-2"/>
              </w:rPr>
            </w:pPr>
          </w:p>
        </w:tc>
        <w:tc>
          <w:tcPr>
            <w:tcW w:w="852" w:type="dxa"/>
            <w:vAlign w:val="center"/>
          </w:tcPr>
          <w:p w14:paraId="3836388A" w14:textId="77777777" w:rsidR="00853B1D" w:rsidRPr="00C74F6D" w:rsidRDefault="00853B1D" w:rsidP="00F8261F">
            <w:pPr>
              <w:autoSpaceDE w:val="0"/>
              <w:autoSpaceDN w:val="0"/>
              <w:adjustRightInd w:val="0"/>
              <w:spacing w:line="320" w:lineRule="atLeast"/>
              <w:jc w:val="both"/>
              <w:rPr>
                <w:rFonts w:asciiTheme="majorBidi" w:hAnsiTheme="majorBidi" w:cstheme="majorBidi"/>
                <w:b/>
                <w:bCs/>
                <w:spacing w:val="-2"/>
              </w:rPr>
            </w:pPr>
            <w:r w:rsidRPr="00C74F6D">
              <w:rPr>
                <w:rFonts w:asciiTheme="majorBidi" w:hAnsiTheme="majorBidi" w:cstheme="majorBidi"/>
                <w:b/>
                <w:bCs/>
                <w:spacing w:val="-2"/>
              </w:rPr>
              <w:t>Cases</w:t>
            </w:r>
          </w:p>
        </w:tc>
        <w:tc>
          <w:tcPr>
            <w:tcW w:w="1031" w:type="dxa"/>
            <w:vAlign w:val="center"/>
          </w:tcPr>
          <w:p w14:paraId="1323D02A" w14:textId="77777777" w:rsidR="00853B1D" w:rsidRPr="00C74F6D" w:rsidRDefault="00853B1D" w:rsidP="00F8261F">
            <w:pPr>
              <w:autoSpaceDE w:val="0"/>
              <w:autoSpaceDN w:val="0"/>
              <w:adjustRightInd w:val="0"/>
              <w:spacing w:line="320" w:lineRule="atLeast"/>
              <w:jc w:val="both"/>
              <w:rPr>
                <w:rFonts w:asciiTheme="majorBidi" w:hAnsiTheme="majorBidi" w:cstheme="majorBidi"/>
                <w:b/>
                <w:bCs/>
                <w:spacing w:val="-2"/>
              </w:rPr>
            </w:pPr>
            <w:r w:rsidRPr="00C74F6D">
              <w:rPr>
                <w:rFonts w:asciiTheme="majorBidi" w:hAnsiTheme="majorBidi" w:cstheme="majorBidi"/>
                <w:b/>
                <w:bCs/>
                <w:spacing w:val="-2"/>
              </w:rPr>
              <w:t>Percent</w:t>
            </w:r>
          </w:p>
        </w:tc>
        <w:tc>
          <w:tcPr>
            <w:tcW w:w="1188" w:type="dxa"/>
            <w:vAlign w:val="center"/>
          </w:tcPr>
          <w:p w14:paraId="5FF5A06A" w14:textId="77777777" w:rsidR="00853B1D" w:rsidRPr="00C74F6D" w:rsidRDefault="00853B1D" w:rsidP="00F8261F">
            <w:pPr>
              <w:autoSpaceDE w:val="0"/>
              <w:autoSpaceDN w:val="0"/>
              <w:adjustRightInd w:val="0"/>
              <w:spacing w:line="320" w:lineRule="atLeast"/>
              <w:jc w:val="both"/>
              <w:rPr>
                <w:rFonts w:asciiTheme="majorBidi" w:hAnsiTheme="majorBidi" w:cstheme="majorBidi"/>
                <w:b/>
                <w:bCs/>
                <w:spacing w:val="-2"/>
              </w:rPr>
            </w:pPr>
            <w:r w:rsidRPr="00C74F6D">
              <w:rPr>
                <w:rFonts w:asciiTheme="majorBidi" w:hAnsiTheme="majorBidi" w:cstheme="majorBidi"/>
                <w:b/>
                <w:bCs/>
                <w:spacing w:val="-2"/>
              </w:rPr>
              <w:t>Total</w:t>
            </w:r>
          </w:p>
        </w:tc>
      </w:tr>
      <w:tr w:rsidR="00853B1D" w:rsidRPr="00C74F6D" w14:paraId="33352833" w14:textId="77777777" w:rsidTr="00F8261F">
        <w:trPr>
          <w:trHeight w:val="251"/>
        </w:trPr>
        <w:tc>
          <w:tcPr>
            <w:tcW w:w="2880" w:type="dxa"/>
            <w:vMerge w:val="restart"/>
            <w:vAlign w:val="center"/>
          </w:tcPr>
          <w:p w14:paraId="4B3008AE"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Gender</w:t>
            </w:r>
          </w:p>
        </w:tc>
        <w:tc>
          <w:tcPr>
            <w:tcW w:w="960" w:type="dxa"/>
            <w:vAlign w:val="center"/>
          </w:tcPr>
          <w:p w14:paraId="0CC9D534"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Male</w:t>
            </w:r>
          </w:p>
        </w:tc>
        <w:tc>
          <w:tcPr>
            <w:tcW w:w="852" w:type="dxa"/>
            <w:vAlign w:val="center"/>
          </w:tcPr>
          <w:p w14:paraId="3604E523"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29</w:t>
            </w:r>
          </w:p>
        </w:tc>
        <w:tc>
          <w:tcPr>
            <w:tcW w:w="1031" w:type="dxa"/>
            <w:vAlign w:val="center"/>
          </w:tcPr>
          <w:p w14:paraId="74D740DC"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46%</w:t>
            </w:r>
          </w:p>
        </w:tc>
        <w:tc>
          <w:tcPr>
            <w:tcW w:w="1188" w:type="dxa"/>
            <w:vMerge w:val="restart"/>
            <w:vAlign w:val="center"/>
          </w:tcPr>
          <w:p w14:paraId="00E02D44"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63(100%)</w:t>
            </w:r>
          </w:p>
        </w:tc>
      </w:tr>
      <w:tr w:rsidR="00853B1D" w:rsidRPr="00C74F6D" w14:paraId="023D24B0" w14:textId="77777777" w:rsidTr="00F8261F">
        <w:trPr>
          <w:trHeight w:val="251"/>
        </w:trPr>
        <w:tc>
          <w:tcPr>
            <w:tcW w:w="2880" w:type="dxa"/>
            <w:vMerge/>
            <w:vAlign w:val="center"/>
          </w:tcPr>
          <w:p w14:paraId="19540399"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p>
        </w:tc>
        <w:tc>
          <w:tcPr>
            <w:tcW w:w="960" w:type="dxa"/>
            <w:vAlign w:val="center"/>
          </w:tcPr>
          <w:p w14:paraId="471AC61B"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Female</w:t>
            </w:r>
          </w:p>
        </w:tc>
        <w:tc>
          <w:tcPr>
            <w:tcW w:w="852" w:type="dxa"/>
            <w:vAlign w:val="center"/>
          </w:tcPr>
          <w:p w14:paraId="692EE0DF"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34</w:t>
            </w:r>
          </w:p>
        </w:tc>
        <w:tc>
          <w:tcPr>
            <w:tcW w:w="1031" w:type="dxa"/>
            <w:vAlign w:val="center"/>
          </w:tcPr>
          <w:p w14:paraId="4675B21D"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54%</w:t>
            </w:r>
          </w:p>
        </w:tc>
        <w:tc>
          <w:tcPr>
            <w:tcW w:w="1188" w:type="dxa"/>
            <w:vMerge/>
          </w:tcPr>
          <w:p w14:paraId="2C3ED9FA"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p>
        </w:tc>
      </w:tr>
      <w:tr w:rsidR="00853B1D" w:rsidRPr="00C74F6D" w14:paraId="06FA81F0" w14:textId="77777777" w:rsidTr="00F8261F">
        <w:trPr>
          <w:trHeight w:val="251"/>
        </w:trPr>
        <w:tc>
          <w:tcPr>
            <w:tcW w:w="2880" w:type="dxa"/>
            <w:vMerge w:val="restart"/>
            <w:vAlign w:val="center"/>
          </w:tcPr>
          <w:p w14:paraId="7EB537BE"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Race</w:t>
            </w:r>
          </w:p>
        </w:tc>
        <w:tc>
          <w:tcPr>
            <w:tcW w:w="960" w:type="dxa"/>
            <w:vAlign w:val="center"/>
          </w:tcPr>
          <w:p w14:paraId="092882FE"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Fars</w:t>
            </w:r>
          </w:p>
        </w:tc>
        <w:tc>
          <w:tcPr>
            <w:tcW w:w="852" w:type="dxa"/>
            <w:vAlign w:val="center"/>
          </w:tcPr>
          <w:p w14:paraId="72360457"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12</w:t>
            </w:r>
          </w:p>
        </w:tc>
        <w:tc>
          <w:tcPr>
            <w:tcW w:w="1031" w:type="dxa"/>
            <w:vAlign w:val="center"/>
          </w:tcPr>
          <w:p w14:paraId="1D51750B"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19%</w:t>
            </w:r>
          </w:p>
        </w:tc>
        <w:tc>
          <w:tcPr>
            <w:tcW w:w="1188" w:type="dxa"/>
            <w:vMerge w:val="restart"/>
            <w:vAlign w:val="center"/>
          </w:tcPr>
          <w:p w14:paraId="5903EF27"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63(100%)</w:t>
            </w:r>
          </w:p>
        </w:tc>
      </w:tr>
      <w:tr w:rsidR="00853B1D" w:rsidRPr="00C74F6D" w14:paraId="6212DF1B" w14:textId="77777777" w:rsidTr="00F8261F">
        <w:trPr>
          <w:trHeight w:val="251"/>
        </w:trPr>
        <w:tc>
          <w:tcPr>
            <w:tcW w:w="2880" w:type="dxa"/>
            <w:vMerge/>
            <w:vAlign w:val="center"/>
          </w:tcPr>
          <w:p w14:paraId="535794B3"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p>
        </w:tc>
        <w:tc>
          <w:tcPr>
            <w:tcW w:w="960" w:type="dxa"/>
            <w:vAlign w:val="center"/>
          </w:tcPr>
          <w:p w14:paraId="61F07FED"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Baloch</w:t>
            </w:r>
          </w:p>
        </w:tc>
        <w:tc>
          <w:tcPr>
            <w:tcW w:w="852" w:type="dxa"/>
            <w:vAlign w:val="center"/>
          </w:tcPr>
          <w:p w14:paraId="62688C53"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51</w:t>
            </w:r>
          </w:p>
        </w:tc>
        <w:tc>
          <w:tcPr>
            <w:tcW w:w="1031" w:type="dxa"/>
            <w:vAlign w:val="center"/>
          </w:tcPr>
          <w:p w14:paraId="5FDC3533"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81%</w:t>
            </w:r>
          </w:p>
        </w:tc>
        <w:tc>
          <w:tcPr>
            <w:tcW w:w="1188" w:type="dxa"/>
            <w:vMerge/>
          </w:tcPr>
          <w:p w14:paraId="1DF1D8B2"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p>
        </w:tc>
      </w:tr>
      <w:tr w:rsidR="00853B1D" w:rsidRPr="00C74F6D" w14:paraId="40854921" w14:textId="77777777" w:rsidTr="00F8261F">
        <w:trPr>
          <w:trHeight w:val="251"/>
        </w:trPr>
        <w:tc>
          <w:tcPr>
            <w:tcW w:w="2880" w:type="dxa"/>
            <w:vMerge w:val="restart"/>
            <w:vAlign w:val="center"/>
          </w:tcPr>
          <w:p w14:paraId="090602BA"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Family history of oral cancer</w:t>
            </w:r>
          </w:p>
        </w:tc>
        <w:tc>
          <w:tcPr>
            <w:tcW w:w="960" w:type="dxa"/>
            <w:vAlign w:val="center"/>
          </w:tcPr>
          <w:p w14:paraId="46A34CF9"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Yes</w:t>
            </w:r>
          </w:p>
        </w:tc>
        <w:tc>
          <w:tcPr>
            <w:tcW w:w="852" w:type="dxa"/>
            <w:vAlign w:val="center"/>
          </w:tcPr>
          <w:p w14:paraId="01CCB72A"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20</w:t>
            </w:r>
          </w:p>
        </w:tc>
        <w:tc>
          <w:tcPr>
            <w:tcW w:w="1031" w:type="dxa"/>
            <w:vAlign w:val="center"/>
          </w:tcPr>
          <w:p w14:paraId="259B7D68"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bookmarkStart w:id="1" w:name="_Hlk154324564"/>
            <w:r w:rsidRPr="00C74F6D">
              <w:rPr>
                <w:rFonts w:asciiTheme="majorBidi" w:hAnsiTheme="majorBidi" w:cstheme="majorBidi"/>
                <w:spacing w:val="-2"/>
              </w:rPr>
              <w:t>31.7%</w:t>
            </w:r>
            <w:bookmarkEnd w:id="1"/>
          </w:p>
        </w:tc>
        <w:tc>
          <w:tcPr>
            <w:tcW w:w="1188" w:type="dxa"/>
            <w:vMerge w:val="restart"/>
            <w:vAlign w:val="center"/>
          </w:tcPr>
          <w:p w14:paraId="5926CCA2"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63(100%)</w:t>
            </w:r>
          </w:p>
        </w:tc>
      </w:tr>
      <w:tr w:rsidR="00853B1D" w:rsidRPr="00C74F6D" w14:paraId="1D8F5F2C" w14:textId="77777777" w:rsidTr="00F8261F">
        <w:trPr>
          <w:trHeight w:val="251"/>
        </w:trPr>
        <w:tc>
          <w:tcPr>
            <w:tcW w:w="2880" w:type="dxa"/>
            <w:vMerge/>
            <w:vAlign w:val="center"/>
          </w:tcPr>
          <w:p w14:paraId="54534E81"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p>
        </w:tc>
        <w:tc>
          <w:tcPr>
            <w:tcW w:w="960" w:type="dxa"/>
            <w:vAlign w:val="center"/>
          </w:tcPr>
          <w:p w14:paraId="1AF78AB3"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No</w:t>
            </w:r>
          </w:p>
        </w:tc>
        <w:tc>
          <w:tcPr>
            <w:tcW w:w="852" w:type="dxa"/>
            <w:vAlign w:val="center"/>
          </w:tcPr>
          <w:p w14:paraId="2590B4B8"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43</w:t>
            </w:r>
          </w:p>
        </w:tc>
        <w:tc>
          <w:tcPr>
            <w:tcW w:w="1031" w:type="dxa"/>
            <w:vAlign w:val="center"/>
          </w:tcPr>
          <w:p w14:paraId="3B71B975"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bookmarkStart w:id="2" w:name="_Hlk154323553"/>
            <w:r w:rsidRPr="00C74F6D">
              <w:rPr>
                <w:rFonts w:asciiTheme="majorBidi" w:hAnsiTheme="majorBidi" w:cstheme="majorBidi"/>
                <w:spacing w:val="-2"/>
              </w:rPr>
              <w:t>68.3%</w:t>
            </w:r>
            <w:bookmarkEnd w:id="2"/>
          </w:p>
        </w:tc>
        <w:tc>
          <w:tcPr>
            <w:tcW w:w="1188" w:type="dxa"/>
            <w:vMerge/>
          </w:tcPr>
          <w:p w14:paraId="14E48357"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p>
        </w:tc>
      </w:tr>
      <w:tr w:rsidR="00853B1D" w:rsidRPr="00C74F6D" w14:paraId="1517A606" w14:textId="77777777" w:rsidTr="00F8261F">
        <w:trPr>
          <w:trHeight w:val="50"/>
        </w:trPr>
        <w:tc>
          <w:tcPr>
            <w:tcW w:w="2880" w:type="dxa"/>
            <w:vAlign w:val="center"/>
          </w:tcPr>
          <w:p w14:paraId="2042E82A"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Age (Mean</w:t>
            </w:r>
            <w:r>
              <w:rPr>
                <w:rFonts w:asciiTheme="majorBidi" w:hAnsiTheme="majorBidi" w:cstheme="majorBidi"/>
                <w:spacing w:val="-2"/>
              </w:rPr>
              <w:t xml:space="preserve"> </w:t>
            </w:r>
            <w:r w:rsidRPr="00C74F6D">
              <w:rPr>
                <w:rFonts w:asciiTheme="majorBidi" w:hAnsiTheme="majorBidi" w:cstheme="majorBidi"/>
                <w:spacing w:val="-2"/>
              </w:rPr>
              <w:t>±</w:t>
            </w:r>
            <w:r>
              <w:rPr>
                <w:rFonts w:asciiTheme="majorBidi" w:hAnsiTheme="majorBidi" w:cstheme="majorBidi"/>
                <w:spacing w:val="-2"/>
              </w:rPr>
              <w:t xml:space="preserve"> </w:t>
            </w:r>
            <w:r w:rsidRPr="00C74F6D">
              <w:rPr>
                <w:rFonts w:asciiTheme="majorBidi" w:hAnsiTheme="majorBidi" w:cstheme="majorBidi"/>
                <w:spacing w:val="-2"/>
              </w:rPr>
              <w:t>SD, Range)</w:t>
            </w:r>
          </w:p>
        </w:tc>
        <w:tc>
          <w:tcPr>
            <w:tcW w:w="4031" w:type="dxa"/>
            <w:gridSpan w:val="4"/>
            <w:vAlign w:val="center"/>
          </w:tcPr>
          <w:p w14:paraId="41D14A2E" w14:textId="77777777" w:rsidR="00853B1D" w:rsidRPr="00C74F6D" w:rsidRDefault="00853B1D" w:rsidP="00F8261F">
            <w:pPr>
              <w:autoSpaceDE w:val="0"/>
              <w:autoSpaceDN w:val="0"/>
              <w:adjustRightInd w:val="0"/>
              <w:spacing w:line="320" w:lineRule="atLeast"/>
              <w:jc w:val="both"/>
              <w:rPr>
                <w:rFonts w:asciiTheme="majorBidi" w:hAnsiTheme="majorBidi" w:cstheme="majorBidi"/>
                <w:spacing w:val="-2"/>
              </w:rPr>
            </w:pPr>
            <w:r w:rsidRPr="00C74F6D">
              <w:rPr>
                <w:rFonts w:asciiTheme="majorBidi" w:hAnsiTheme="majorBidi" w:cstheme="majorBidi"/>
                <w:spacing w:val="-2"/>
              </w:rPr>
              <w:t>54.24±12.9, 36-85</w:t>
            </w:r>
          </w:p>
        </w:tc>
      </w:tr>
    </w:tbl>
    <w:p w14:paraId="4748E974"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spacing w:val="-2"/>
        </w:rPr>
      </w:pPr>
    </w:p>
    <w:p w14:paraId="5330E699" w14:textId="77777777" w:rsidR="00853B1D" w:rsidRPr="00C74F6D" w:rsidRDefault="00853B1D" w:rsidP="00853B1D">
      <w:pPr>
        <w:autoSpaceDE w:val="0"/>
        <w:autoSpaceDN w:val="0"/>
        <w:adjustRightInd w:val="0"/>
        <w:spacing w:after="0" w:line="320" w:lineRule="atLeast"/>
        <w:jc w:val="both"/>
        <w:rPr>
          <w:rFonts w:asciiTheme="majorBidi" w:hAnsiTheme="majorBidi" w:cstheme="majorBidi"/>
          <w:spacing w:val="-2"/>
        </w:rPr>
      </w:pPr>
    </w:p>
    <w:p w14:paraId="160B6529"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sz w:val="14"/>
          <w:szCs w:val="14"/>
        </w:rPr>
      </w:pPr>
    </w:p>
    <w:p w14:paraId="4E3486BF"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sz w:val="14"/>
          <w:szCs w:val="14"/>
        </w:rPr>
      </w:pPr>
    </w:p>
    <w:p w14:paraId="502237B6"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sz w:val="14"/>
          <w:szCs w:val="14"/>
        </w:rPr>
      </w:pPr>
    </w:p>
    <w:p w14:paraId="4BC0114A"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sz w:val="14"/>
          <w:szCs w:val="14"/>
        </w:rPr>
      </w:pPr>
    </w:p>
    <w:p w14:paraId="22642B5C" w14:textId="77777777" w:rsidR="00853B1D" w:rsidRPr="00C74F6D" w:rsidRDefault="00853B1D" w:rsidP="00853B1D">
      <w:pPr>
        <w:autoSpaceDE w:val="0"/>
        <w:autoSpaceDN w:val="0"/>
        <w:adjustRightInd w:val="0"/>
        <w:spacing w:after="0" w:line="340" w:lineRule="atLeast"/>
        <w:jc w:val="both"/>
        <w:rPr>
          <w:rFonts w:asciiTheme="majorBidi" w:hAnsiTheme="majorBidi" w:cstheme="majorBidi"/>
          <w:spacing w:val="-2"/>
        </w:rPr>
      </w:pPr>
      <w:r w:rsidRPr="00C74F6D">
        <w:rPr>
          <w:rFonts w:asciiTheme="majorBidi" w:hAnsiTheme="majorBidi" w:cstheme="majorBidi"/>
          <w:b/>
          <w:bCs/>
          <w:spacing w:val="-2"/>
        </w:rPr>
        <w:t>Table 2:</w:t>
      </w:r>
      <w:r w:rsidRPr="00C74F6D">
        <w:rPr>
          <w:rFonts w:asciiTheme="majorBidi" w:hAnsiTheme="majorBidi" w:cstheme="majorBidi"/>
          <w:spacing w:val="-2"/>
        </w:rPr>
        <w:t xml:space="preserve"> Distribution of symptoms, Size of the lesion</w:t>
      </w:r>
      <w:r>
        <w:rPr>
          <w:rFonts w:asciiTheme="majorBidi" w:hAnsiTheme="majorBidi" w:cstheme="majorBidi"/>
          <w:spacing w:val="-2"/>
        </w:rPr>
        <w:t>,</w:t>
      </w:r>
      <w:r w:rsidRPr="00C74F6D">
        <w:rPr>
          <w:rFonts w:asciiTheme="majorBidi" w:hAnsiTheme="majorBidi" w:cstheme="majorBidi"/>
          <w:spacing w:val="-2"/>
        </w:rPr>
        <w:t xml:space="preserve"> and duration of the lesion’s presence among patients with Oral Squamous Cell Carcinoma in Zahedan, Southeast of Iran</w:t>
      </w:r>
      <w:r>
        <w:rPr>
          <w:rFonts w:asciiTheme="majorBidi" w:hAnsiTheme="majorBidi" w:cstheme="majorBidi"/>
          <w:spacing w:val="-2"/>
        </w:rPr>
        <w:t>,</w:t>
      </w:r>
      <w:r w:rsidRPr="00C74F6D">
        <w:rPr>
          <w:rFonts w:asciiTheme="majorBidi" w:hAnsiTheme="majorBidi" w:cstheme="majorBidi"/>
          <w:spacing w:val="-2"/>
        </w:rPr>
        <w:t xml:space="preserve"> in </w:t>
      </w:r>
      <w:r>
        <w:rPr>
          <w:rFonts w:asciiTheme="majorBidi" w:hAnsiTheme="majorBidi" w:cstheme="majorBidi"/>
          <w:spacing w:val="-2"/>
        </w:rPr>
        <w:t>2021 and 2023</w:t>
      </w:r>
    </w:p>
    <w:tbl>
      <w:tblPr>
        <w:tblStyle w:val="TableGrid"/>
        <w:tblW w:w="9631" w:type="dxa"/>
        <w:tblLayout w:type="fixed"/>
        <w:tblLook w:val="0000" w:firstRow="0" w:lastRow="0" w:firstColumn="0" w:lastColumn="0" w:noHBand="0" w:noVBand="0"/>
      </w:tblPr>
      <w:tblGrid>
        <w:gridCol w:w="2965"/>
        <w:gridCol w:w="3891"/>
        <w:gridCol w:w="750"/>
        <w:gridCol w:w="933"/>
        <w:gridCol w:w="1092"/>
      </w:tblGrid>
      <w:tr w:rsidR="00853B1D" w:rsidRPr="00C74F6D" w14:paraId="2F309585" w14:textId="77777777" w:rsidTr="00F8261F">
        <w:trPr>
          <w:trHeight w:val="50"/>
        </w:trPr>
        <w:tc>
          <w:tcPr>
            <w:tcW w:w="2965" w:type="dxa"/>
          </w:tcPr>
          <w:p w14:paraId="77E03C5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rPr>
            </w:pPr>
          </w:p>
        </w:tc>
        <w:tc>
          <w:tcPr>
            <w:tcW w:w="3891" w:type="dxa"/>
            <w:vAlign w:val="center"/>
          </w:tcPr>
          <w:p w14:paraId="7077C03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rPr>
            </w:pPr>
          </w:p>
        </w:tc>
        <w:tc>
          <w:tcPr>
            <w:tcW w:w="750" w:type="dxa"/>
            <w:vAlign w:val="center"/>
          </w:tcPr>
          <w:p w14:paraId="3D165D31"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rPr>
            </w:pPr>
            <w:r w:rsidRPr="00C74F6D">
              <w:rPr>
                <w:rFonts w:asciiTheme="majorBidi" w:hAnsiTheme="majorBidi" w:cstheme="majorBidi"/>
                <w:b/>
                <w:bCs/>
                <w:spacing w:val="-2"/>
              </w:rPr>
              <w:t>Cases</w:t>
            </w:r>
          </w:p>
        </w:tc>
        <w:tc>
          <w:tcPr>
            <w:tcW w:w="933" w:type="dxa"/>
            <w:vAlign w:val="center"/>
          </w:tcPr>
          <w:p w14:paraId="1E01FED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rPr>
            </w:pPr>
            <w:r w:rsidRPr="00C74F6D">
              <w:rPr>
                <w:rFonts w:asciiTheme="majorBidi" w:hAnsiTheme="majorBidi" w:cstheme="majorBidi"/>
                <w:b/>
                <w:bCs/>
                <w:spacing w:val="-2"/>
              </w:rPr>
              <w:t>Percent</w:t>
            </w:r>
          </w:p>
        </w:tc>
        <w:tc>
          <w:tcPr>
            <w:tcW w:w="1092" w:type="dxa"/>
            <w:vAlign w:val="center"/>
          </w:tcPr>
          <w:p w14:paraId="4D9A300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rPr>
            </w:pPr>
            <w:r w:rsidRPr="00C74F6D">
              <w:rPr>
                <w:rFonts w:asciiTheme="majorBidi" w:hAnsiTheme="majorBidi" w:cstheme="majorBidi"/>
                <w:b/>
                <w:bCs/>
                <w:spacing w:val="-2"/>
              </w:rPr>
              <w:t>Total</w:t>
            </w:r>
          </w:p>
        </w:tc>
      </w:tr>
      <w:tr w:rsidR="00853B1D" w:rsidRPr="00C74F6D" w14:paraId="01357C88" w14:textId="77777777" w:rsidTr="00F8261F">
        <w:trPr>
          <w:trHeight w:val="54"/>
        </w:trPr>
        <w:tc>
          <w:tcPr>
            <w:tcW w:w="2965" w:type="dxa"/>
            <w:vMerge w:val="restart"/>
            <w:vAlign w:val="center"/>
          </w:tcPr>
          <w:p w14:paraId="75E4CC2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Symptoms at the time of examination</w:t>
            </w:r>
          </w:p>
        </w:tc>
        <w:tc>
          <w:tcPr>
            <w:tcW w:w="3891" w:type="dxa"/>
            <w:vAlign w:val="center"/>
          </w:tcPr>
          <w:p w14:paraId="6579074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Pain</w:t>
            </w:r>
          </w:p>
        </w:tc>
        <w:tc>
          <w:tcPr>
            <w:tcW w:w="750" w:type="dxa"/>
            <w:vAlign w:val="center"/>
          </w:tcPr>
          <w:p w14:paraId="6F1811A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22</w:t>
            </w:r>
          </w:p>
        </w:tc>
        <w:tc>
          <w:tcPr>
            <w:tcW w:w="933" w:type="dxa"/>
            <w:vAlign w:val="center"/>
          </w:tcPr>
          <w:p w14:paraId="096AAAC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34.9%</w:t>
            </w:r>
          </w:p>
        </w:tc>
        <w:tc>
          <w:tcPr>
            <w:tcW w:w="1092" w:type="dxa"/>
            <w:vMerge w:val="restart"/>
            <w:vAlign w:val="center"/>
          </w:tcPr>
          <w:p w14:paraId="5C26969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63(100%)</w:t>
            </w:r>
          </w:p>
          <w:p w14:paraId="4F6C1A3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1A1E0211" w14:textId="77777777" w:rsidTr="00F8261F">
        <w:trPr>
          <w:trHeight w:val="54"/>
        </w:trPr>
        <w:tc>
          <w:tcPr>
            <w:tcW w:w="2965" w:type="dxa"/>
            <w:vMerge/>
          </w:tcPr>
          <w:p w14:paraId="7BF71FC1"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528A31B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Pain and Burning sensation</w:t>
            </w:r>
          </w:p>
        </w:tc>
        <w:tc>
          <w:tcPr>
            <w:tcW w:w="750" w:type="dxa"/>
            <w:vAlign w:val="center"/>
          </w:tcPr>
          <w:p w14:paraId="1AA20F9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10</w:t>
            </w:r>
          </w:p>
        </w:tc>
        <w:tc>
          <w:tcPr>
            <w:tcW w:w="933" w:type="dxa"/>
            <w:vAlign w:val="center"/>
          </w:tcPr>
          <w:p w14:paraId="563C48ED"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15.9%</w:t>
            </w:r>
          </w:p>
        </w:tc>
        <w:tc>
          <w:tcPr>
            <w:tcW w:w="1092" w:type="dxa"/>
            <w:vMerge/>
            <w:vAlign w:val="center"/>
          </w:tcPr>
          <w:p w14:paraId="61C693B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7DD283F1" w14:textId="77777777" w:rsidTr="00F8261F">
        <w:trPr>
          <w:trHeight w:val="54"/>
        </w:trPr>
        <w:tc>
          <w:tcPr>
            <w:tcW w:w="2965" w:type="dxa"/>
            <w:vMerge/>
          </w:tcPr>
          <w:p w14:paraId="0C42023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5B5AFE9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Pain, Burning sensation, and Hemorrhage</w:t>
            </w:r>
          </w:p>
        </w:tc>
        <w:tc>
          <w:tcPr>
            <w:tcW w:w="750" w:type="dxa"/>
            <w:vAlign w:val="center"/>
          </w:tcPr>
          <w:p w14:paraId="4CE6038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21</w:t>
            </w:r>
          </w:p>
        </w:tc>
        <w:tc>
          <w:tcPr>
            <w:tcW w:w="933" w:type="dxa"/>
            <w:vAlign w:val="center"/>
          </w:tcPr>
          <w:p w14:paraId="2F224AFB"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bookmarkStart w:id="3" w:name="_Hlk154325867"/>
            <w:r w:rsidRPr="00C74F6D">
              <w:rPr>
                <w:rFonts w:asciiTheme="majorBidi" w:hAnsiTheme="majorBidi" w:cstheme="majorBidi"/>
                <w:spacing w:val="-2"/>
              </w:rPr>
              <w:t>33.3%</w:t>
            </w:r>
            <w:bookmarkEnd w:id="3"/>
          </w:p>
        </w:tc>
        <w:tc>
          <w:tcPr>
            <w:tcW w:w="1092" w:type="dxa"/>
            <w:vMerge/>
            <w:vAlign w:val="center"/>
          </w:tcPr>
          <w:p w14:paraId="51A3391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0C5A6B07" w14:textId="77777777" w:rsidTr="00F8261F">
        <w:trPr>
          <w:trHeight w:val="54"/>
        </w:trPr>
        <w:tc>
          <w:tcPr>
            <w:tcW w:w="2965" w:type="dxa"/>
            <w:vMerge/>
          </w:tcPr>
          <w:p w14:paraId="101CAB2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36DF326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Without symptoms</w:t>
            </w:r>
          </w:p>
        </w:tc>
        <w:tc>
          <w:tcPr>
            <w:tcW w:w="750" w:type="dxa"/>
            <w:vAlign w:val="center"/>
          </w:tcPr>
          <w:p w14:paraId="2B9DE34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10</w:t>
            </w:r>
          </w:p>
        </w:tc>
        <w:tc>
          <w:tcPr>
            <w:tcW w:w="933" w:type="dxa"/>
            <w:vAlign w:val="center"/>
          </w:tcPr>
          <w:p w14:paraId="6324DB4E"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15.9%</w:t>
            </w:r>
          </w:p>
        </w:tc>
        <w:tc>
          <w:tcPr>
            <w:tcW w:w="1092" w:type="dxa"/>
            <w:vMerge/>
            <w:vAlign w:val="center"/>
          </w:tcPr>
          <w:p w14:paraId="17FE283D"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765BE6A3" w14:textId="77777777" w:rsidTr="00F8261F">
        <w:trPr>
          <w:trHeight w:val="54"/>
        </w:trPr>
        <w:tc>
          <w:tcPr>
            <w:tcW w:w="2965" w:type="dxa"/>
            <w:vMerge w:val="restart"/>
          </w:tcPr>
          <w:p w14:paraId="03C8AE3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Duration of the presence of the lesion in the mouth before searching for treatment</w:t>
            </w:r>
          </w:p>
        </w:tc>
        <w:tc>
          <w:tcPr>
            <w:tcW w:w="3891" w:type="dxa"/>
            <w:vAlign w:val="center"/>
          </w:tcPr>
          <w:p w14:paraId="44D0DA3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less than 1month</w:t>
            </w:r>
          </w:p>
        </w:tc>
        <w:tc>
          <w:tcPr>
            <w:tcW w:w="750" w:type="dxa"/>
            <w:vAlign w:val="center"/>
          </w:tcPr>
          <w:p w14:paraId="1B51109B"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7</w:t>
            </w:r>
          </w:p>
        </w:tc>
        <w:tc>
          <w:tcPr>
            <w:tcW w:w="933" w:type="dxa"/>
            <w:vAlign w:val="center"/>
          </w:tcPr>
          <w:p w14:paraId="0FF6D7DD"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11.1%</w:t>
            </w:r>
          </w:p>
        </w:tc>
        <w:tc>
          <w:tcPr>
            <w:tcW w:w="1092" w:type="dxa"/>
            <w:vMerge w:val="restart"/>
            <w:vAlign w:val="center"/>
          </w:tcPr>
          <w:p w14:paraId="0BC3ECB1"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63(100%)</w:t>
            </w:r>
          </w:p>
        </w:tc>
      </w:tr>
      <w:tr w:rsidR="00853B1D" w:rsidRPr="00C74F6D" w14:paraId="1883197B" w14:textId="77777777" w:rsidTr="00F8261F">
        <w:trPr>
          <w:trHeight w:val="54"/>
        </w:trPr>
        <w:tc>
          <w:tcPr>
            <w:tcW w:w="2965" w:type="dxa"/>
            <w:vMerge/>
          </w:tcPr>
          <w:p w14:paraId="3EABFF1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6765E33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 xml:space="preserve">1-3 </w:t>
            </w:r>
            <w:r>
              <w:rPr>
                <w:rFonts w:asciiTheme="majorBidi" w:hAnsiTheme="majorBidi" w:cstheme="majorBidi"/>
                <w:spacing w:val="-2"/>
              </w:rPr>
              <w:t>months</w:t>
            </w:r>
          </w:p>
        </w:tc>
        <w:tc>
          <w:tcPr>
            <w:tcW w:w="750" w:type="dxa"/>
            <w:vAlign w:val="center"/>
          </w:tcPr>
          <w:p w14:paraId="4ACA378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26</w:t>
            </w:r>
          </w:p>
        </w:tc>
        <w:tc>
          <w:tcPr>
            <w:tcW w:w="933" w:type="dxa"/>
            <w:vAlign w:val="center"/>
          </w:tcPr>
          <w:p w14:paraId="4AC116A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bookmarkStart w:id="4" w:name="_Hlk154325769"/>
            <w:r w:rsidRPr="00C74F6D">
              <w:rPr>
                <w:rFonts w:asciiTheme="majorBidi" w:hAnsiTheme="majorBidi" w:cstheme="majorBidi"/>
                <w:spacing w:val="-2"/>
              </w:rPr>
              <w:t>41.3%</w:t>
            </w:r>
            <w:bookmarkEnd w:id="4"/>
          </w:p>
        </w:tc>
        <w:tc>
          <w:tcPr>
            <w:tcW w:w="1092" w:type="dxa"/>
            <w:vMerge/>
          </w:tcPr>
          <w:p w14:paraId="6C8DD72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1A161EC0" w14:textId="77777777" w:rsidTr="00F8261F">
        <w:trPr>
          <w:trHeight w:val="54"/>
        </w:trPr>
        <w:tc>
          <w:tcPr>
            <w:tcW w:w="2965" w:type="dxa"/>
            <w:vMerge/>
          </w:tcPr>
          <w:p w14:paraId="78754D5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4724CB4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 xml:space="preserve">3-6 </w:t>
            </w:r>
            <w:r>
              <w:rPr>
                <w:rFonts w:asciiTheme="majorBidi" w:hAnsiTheme="majorBidi" w:cstheme="majorBidi"/>
                <w:spacing w:val="-2"/>
              </w:rPr>
              <w:t>months</w:t>
            </w:r>
          </w:p>
        </w:tc>
        <w:tc>
          <w:tcPr>
            <w:tcW w:w="750" w:type="dxa"/>
            <w:vAlign w:val="center"/>
          </w:tcPr>
          <w:p w14:paraId="699790D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27</w:t>
            </w:r>
          </w:p>
        </w:tc>
        <w:tc>
          <w:tcPr>
            <w:tcW w:w="933" w:type="dxa"/>
            <w:vAlign w:val="center"/>
          </w:tcPr>
          <w:p w14:paraId="769CD32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bookmarkStart w:id="5" w:name="_Hlk154323902"/>
            <w:r w:rsidRPr="00C74F6D">
              <w:rPr>
                <w:rFonts w:asciiTheme="majorBidi" w:hAnsiTheme="majorBidi" w:cstheme="majorBidi"/>
                <w:spacing w:val="-2"/>
              </w:rPr>
              <w:t>42.9%</w:t>
            </w:r>
            <w:bookmarkEnd w:id="5"/>
          </w:p>
        </w:tc>
        <w:tc>
          <w:tcPr>
            <w:tcW w:w="1092" w:type="dxa"/>
            <w:vMerge/>
          </w:tcPr>
          <w:p w14:paraId="795DAF2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63F5E933" w14:textId="77777777" w:rsidTr="00F8261F">
        <w:trPr>
          <w:trHeight w:val="54"/>
        </w:trPr>
        <w:tc>
          <w:tcPr>
            <w:tcW w:w="2965" w:type="dxa"/>
            <w:vMerge/>
          </w:tcPr>
          <w:p w14:paraId="5DA677A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56491B9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 xml:space="preserve">6-12 </w:t>
            </w:r>
            <w:r>
              <w:rPr>
                <w:rFonts w:asciiTheme="majorBidi" w:hAnsiTheme="majorBidi" w:cstheme="majorBidi"/>
                <w:spacing w:val="-2"/>
              </w:rPr>
              <w:t>months</w:t>
            </w:r>
          </w:p>
        </w:tc>
        <w:tc>
          <w:tcPr>
            <w:tcW w:w="750" w:type="dxa"/>
            <w:vAlign w:val="center"/>
          </w:tcPr>
          <w:p w14:paraId="4DB3FBC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3</w:t>
            </w:r>
          </w:p>
        </w:tc>
        <w:tc>
          <w:tcPr>
            <w:tcW w:w="933" w:type="dxa"/>
            <w:vAlign w:val="center"/>
          </w:tcPr>
          <w:p w14:paraId="0CCE89D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4.8%</w:t>
            </w:r>
          </w:p>
        </w:tc>
        <w:tc>
          <w:tcPr>
            <w:tcW w:w="1092" w:type="dxa"/>
            <w:vMerge/>
          </w:tcPr>
          <w:p w14:paraId="6A8AA55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16B7F292" w14:textId="77777777" w:rsidTr="00F8261F">
        <w:trPr>
          <w:trHeight w:val="54"/>
        </w:trPr>
        <w:tc>
          <w:tcPr>
            <w:tcW w:w="2965" w:type="dxa"/>
            <w:vMerge w:val="restart"/>
          </w:tcPr>
          <w:p w14:paraId="6C00274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Size of the lesion</w:t>
            </w:r>
          </w:p>
        </w:tc>
        <w:tc>
          <w:tcPr>
            <w:tcW w:w="3891" w:type="dxa"/>
            <w:vAlign w:val="center"/>
          </w:tcPr>
          <w:p w14:paraId="5CEF181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≤2</w:t>
            </w:r>
          </w:p>
        </w:tc>
        <w:tc>
          <w:tcPr>
            <w:tcW w:w="750" w:type="dxa"/>
            <w:vAlign w:val="center"/>
          </w:tcPr>
          <w:p w14:paraId="5B7C3A2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13</w:t>
            </w:r>
          </w:p>
        </w:tc>
        <w:tc>
          <w:tcPr>
            <w:tcW w:w="933" w:type="dxa"/>
            <w:vAlign w:val="center"/>
          </w:tcPr>
          <w:p w14:paraId="47CF66B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20.6%</w:t>
            </w:r>
          </w:p>
        </w:tc>
        <w:tc>
          <w:tcPr>
            <w:tcW w:w="1092" w:type="dxa"/>
            <w:vMerge w:val="restart"/>
            <w:vAlign w:val="center"/>
          </w:tcPr>
          <w:p w14:paraId="7AA4936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63(100%)</w:t>
            </w:r>
          </w:p>
        </w:tc>
      </w:tr>
      <w:tr w:rsidR="00853B1D" w:rsidRPr="00C74F6D" w14:paraId="4BFF2763" w14:textId="77777777" w:rsidTr="00F8261F">
        <w:trPr>
          <w:trHeight w:val="54"/>
        </w:trPr>
        <w:tc>
          <w:tcPr>
            <w:tcW w:w="2965" w:type="dxa"/>
            <w:vMerge/>
          </w:tcPr>
          <w:p w14:paraId="29E1933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4DD8BBEE"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3-10</w:t>
            </w:r>
          </w:p>
        </w:tc>
        <w:tc>
          <w:tcPr>
            <w:tcW w:w="750" w:type="dxa"/>
            <w:vAlign w:val="center"/>
          </w:tcPr>
          <w:p w14:paraId="0EAE805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33</w:t>
            </w:r>
          </w:p>
        </w:tc>
        <w:tc>
          <w:tcPr>
            <w:tcW w:w="933" w:type="dxa"/>
            <w:vAlign w:val="center"/>
          </w:tcPr>
          <w:p w14:paraId="577E4C2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52.4%</w:t>
            </w:r>
          </w:p>
        </w:tc>
        <w:tc>
          <w:tcPr>
            <w:tcW w:w="1092" w:type="dxa"/>
            <w:vMerge/>
          </w:tcPr>
          <w:p w14:paraId="233BE64F"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r w:rsidR="00853B1D" w:rsidRPr="00C74F6D" w14:paraId="603653FE" w14:textId="77777777" w:rsidTr="00F8261F">
        <w:trPr>
          <w:trHeight w:val="54"/>
        </w:trPr>
        <w:tc>
          <w:tcPr>
            <w:tcW w:w="2965" w:type="dxa"/>
            <w:vMerge/>
          </w:tcPr>
          <w:p w14:paraId="1696CDC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c>
          <w:tcPr>
            <w:tcW w:w="3891" w:type="dxa"/>
            <w:vAlign w:val="center"/>
          </w:tcPr>
          <w:p w14:paraId="3260B90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&gt;10</w:t>
            </w:r>
          </w:p>
        </w:tc>
        <w:tc>
          <w:tcPr>
            <w:tcW w:w="750" w:type="dxa"/>
            <w:vAlign w:val="center"/>
          </w:tcPr>
          <w:p w14:paraId="43A675A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17</w:t>
            </w:r>
          </w:p>
        </w:tc>
        <w:tc>
          <w:tcPr>
            <w:tcW w:w="933" w:type="dxa"/>
            <w:vAlign w:val="center"/>
          </w:tcPr>
          <w:p w14:paraId="63FBEE5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r w:rsidRPr="00C74F6D">
              <w:rPr>
                <w:rFonts w:asciiTheme="majorBidi" w:hAnsiTheme="majorBidi" w:cstheme="majorBidi"/>
                <w:spacing w:val="-2"/>
              </w:rPr>
              <w:t>27%</w:t>
            </w:r>
          </w:p>
        </w:tc>
        <w:tc>
          <w:tcPr>
            <w:tcW w:w="1092" w:type="dxa"/>
            <w:vMerge/>
          </w:tcPr>
          <w:p w14:paraId="52F370A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rPr>
            </w:pPr>
          </w:p>
        </w:tc>
      </w:tr>
    </w:tbl>
    <w:p w14:paraId="1F412B7D" w14:textId="77777777" w:rsidR="00853B1D" w:rsidRPr="00C74F6D" w:rsidRDefault="00853B1D" w:rsidP="00853B1D">
      <w:pPr>
        <w:autoSpaceDE w:val="0"/>
        <w:autoSpaceDN w:val="0"/>
        <w:adjustRightInd w:val="0"/>
        <w:spacing w:after="0" w:line="340" w:lineRule="atLeast"/>
        <w:jc w:val="both"/>
        <w:rPr>
          <w:rFonts w:asciiTheme="majorBidi" w:hAnsiTheme="majorBidi" w:cstheme="majorBidi"/>
          <w:spacing w:val="-2"/>
          <w:sz w:val="12"/>
          <w:szCs w:val="12"/>
          <w:rtl/>
        </w:rPr>
      </w:pPr>
    </w:p>
    <w:p w14:paraId="222E29B0" w14:textId="77777777" w:rsidR="00853B1D" w:rsidRPr="00C74F6D" w:rsidRDefault="00853B1D" w:rsidP="00853B1D">
      <w:pPr>
        <w:autoSpaceDE w:val="0"/>
        <w:autoSpaceDN w:val="0"/>
        <w:adjustRightInd w:val="0"/>
        <w:spacing w:after="0" w:line="340" w:lineRule="atLeast"/>
        <w:jc w:val="both"/>
        <w:rPr>
          <w:rFonts w:asciiTheme="majorBidi" w:hAnsiTheme="majorBidi" w:cstheme="majorBidi"/>
          <w:spacing w:val="-2"/>
          <w:sz w:val="12"/>
          <w:szCs w:val="12"/>
        </w:rPr>
      </w:pPr>
    </w:p>
    <w:p w14:paraId="6001FF28" w14:textId="77777777" w:rsidR="00853B1D" w:rsidRPr="00C74F6D" w:rsidRDefault="00853B1D" w:rsidP="00853B1D">
      <w:pPr>
        <w:spacing w:after="0"/>
        <w:rPr>
          <w:rFonts w:asciiTheme="majorBidi" w:hAnsiTheme="majorBidi" w:cstheme="majorBidi"/>
          <w:b/>
          <w:bCs/>
          <w:spacing w:val="-2"/>
        </w:rPr>
      </w:pPr>
    </w:p>
    <w:p w14:paraId="47A6808A" w14:textId="77777777" w:rsidR="00853B1D" w:rsidRPr="00C74F6D" w:rsidRDefault="00853B1D" w:rsidP="00853B1D">
      <w:pPr>
        <w:autoSpaceDE w:val="0"/>
        <w:autoSpaceDN w:val="0"/>
        <w:adjustRightInd w:val="0"/>
        <w:spacing w:after="0" w:line="340" w:lineRule="atLeast"/>
        <w:jc w:val="both"/>
        <w:rPr>
          <w:rFonts w:asciiTheme="majorBidi" w:hAnsiTheme="majorBidi" w:cstheme="majorBidi"/>
          <w:spacing w:val="-2"/>
        </w:rPr>
      </w:pPr>
      <w:r w:rsidRPr="00C74F6D">
        <w:rPr>
          <w:rFonts w:asciiTheme="majorBidi" w:hAnsiTheme="majorBidi" w:cstheme="majorBidi"/>
          <w:b/>
          <w:bCs/>
          <w:spacing w:val="-2"/>
        </w:rPr>
        <w:t>Table 3</w:t>
      </w:r>
      <w:r>
        <w:rPr>
          <w:rStyle w:val="FootnoteReference"/>
          <w:rFonts w:asciiTheme="majorBidi" w:hAnsiTheme="majorBidi" w:cstheme="majorBidi"/>
          <w:b/>
          <w:bCs/>
          <w:spacing w:val="-2"/>
        </w:rPr>
        <w:footnoteReference w:id="1"/>
      </w:r>
      <w:r w:rsidRPr="00C74F6D">
        <w:rPr>
          <w:rFonts w:asciiTheme="majorBidi" w:hAnsiTheme="majorBidi" w:cstheme="majorBidi"/>
          <w:b/>
          <w:bCs/>
          <w:spacing w:val="-2"/>
        </w:rPr>
        <w:t>:</w:t>
      </w:r>
      <w:r w:rsidRPr="00C74F6D">
        <w:rPr>
          <w:rFonts w:asciiTheme="majorBidi" w:hAnsiTheme="majorBidi" w:cstheme="majorBidi"/>
          <w:spacing w:val="-2"/>
        </w:rPr>
        <w:t xml:space="preserve"> Distribution of Duration of the presence of the lesion in the mouth before searching for treatment among patients with Oral Squamous Cell Carcinoma according to Smoking and Age in Southeast of Iran </w:t>
      </w:r>
    </w:p>
    <w:tbl>
      <w:tblPr>
        <w:tblStyle w:val="TableGrid"/>
        <w:tblW w:w="10219" w:type="dxa"/>
        <w:jc w:val="center"/>
        <w:tblLayout w:type="fixed"/>
        <w:tblLook w:val="0000" w:firstRow="0" w:lastRow="0" w:firstColumn="0" w:lastColumn="0" w:noHBand="0" w:noVBand="0"/>
      </w:tblPr>
      <w:tblGrid>
        <w:gridCol w:w="1085"/>
        <w:gridCol w:w="1656"/>
        <w:gridCol w:w="1514"/>
        <w:gridCol w:w="1368"/>
        <w:gridCol w:w="998"/>
        <w:gridCol w:w="1000"/>
        <w:gridCol w:w="1000"/>
        <w:gridCol w:w="891"/>
        <w:gridCol w:w="707"/>
      </w:tblGrid>
      <w:tr w:rsidR="00853B1D" w:rsidRPr="00C74F6D" w14:paraId="05C8EAA7" w14:textId="77777777" w:rsidTr="00F8261F">
        <w:trPr>
          <w:jc w:val="center"/>
        </w:trPr>
        <w:tc>
          <w:tcPr>
            <w:tcW w:w="1085" w:type="dxa"/>
          </w:tcPr>
          <w:p w14:paraId="599E144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p>
        </w:tc>
        <w:tc>
          <w:tcPr>
            <w:tcW w:w="3170" w:type="dxa"/>
            <w:gridSpan w:val="2"/>
            <w:tcBorders>
              <w:top w:val="single" w:sz="4" w:space="0" w:color="auto"/>
            </w:tcBorders>
          </w:tcPr>
          <w:p w14:paraId="207C17E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r w:rsidRPr="00C74F6D">
              <w:rPr>
                <w:rFonts w:asciiTheme="majorBidi" w:hAnsiTheme="majorBidi" w:cstheme="majorBidi"/>
                <w:b/>
                <w:bCs/>
                <w:spacing w:val="-2"/>
              </w:rPr>
              <w:t>Duration of the presence of the lesion in the mouth before searching for treatment</w:t>
            </w:r>
          </w:p>
        </w:tc>
        <w:tc>
          <w:tcPr>
            <w:tcW w:w="1368" w:type="dxa"/>
          </w:tcPr>
          <w:p w14:paraId="53AE7A7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r w:rsidRPr="007634B1">
              <w:rPr>
                <w:rFonts w:asciiTheme="majorBidi" w:hAnsiTheme="majorBidi" w:cstheme="majorBidi"/>
                <w:b/>
                <w:bCs/>
                <w:spacing w:val="-2"/>
                <w:lang w:bidi="ar-SA"/>
              </w:rPr>
              <w:t>&lt; 1 month</w:t>
            </w:r>
          </w:p>
        </w:tc>
        <w:tc>
          <w:tcPr>
            <w:tcW w:w="998" w:type="dxa"/>
          </w:tcPr>
          <w:p w14:paraId="679C4CB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 xml:space="preserve">1-3 </w:t>
            </w:r>
            <w:r>
              <w:rPr>
                <w:rFonts w:asciiTheme="majorBidi" w:hAnsiTheme="majorBidi" w:cstheme="majorBidi"/>
                <w:b/>
                <w:bCs/>
                <w:spacing w:val="-2"/>
                <w:lang w:bidi="ar-SA"/>
              </w:rPr>
              <w:t>months</w:t>
            </w:r>
          </w:p>
        </w:tc>
        <w:tc>
          <w:tcPr>
            <w:tcW w:w="1000" w:type="dxa"/>
          </w:tcPr>
          <w:p w14:paraId="7237F87F"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 xml:space="preserve">3-6 </w:t>
            </w:r>
            <w:r>
              <w:rPr>
                <w:rFonts w:asciiTheme="majorBidi" w:hAnsiTheme="majorBidi" w:cstheme="majorBidi"/>
                <w:b/>
                <w:bCs/>
                <w:spacing w:val="-2"/>
                <w:lang w:bidi="ar-SA"/>
              </w:rPr>
              <w:t>months</w:t>
            </w:r>
          </w:p>
        </w:tc>
        <w:tc>
          <w:tcPr>
            <w:tcW w:w="1000" w:type="dxa"/>
          </w:tcPr>
          <w:p w14:paraId="68450F2E"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 xml:space="preserve">6-12 </w:t>
            </w:r>
            <w:r>
              <w:rPr>
                <w:rFonts w:asciiTheme="majorBidi" w:hAnsiTheme="majorBidi" w:cstheme="majorBidi"/>
                <w:b/>
                <w:bCs/>
                <w:spacing w:val="-2"/>
                <w:lang w:bidi="ar-SA"/>
              </w:rPr>
              <w:t>months</w:t>
            </w:r>
          </w:p>
        </w:tc>
        <w:tc>
          <w:tcPr>
            <w:tcW w:w="891" w:type="dxa"/>
            <w:tcBorders>
              <w:top w:val="single" w:sz="4" w:space="0" w:color="auto"/>
            </w:tcBorders>
          </w:tcPr>
          <w:p w14:paraId="3C64390B"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Total</w:t>
            </w:r>
          </w:p>
        </w:tc>
        <w:tc>
          <w:tcPr>
            <w:tcW w:w="707" w:type="dxa"/>
            <w:tcBorders>
              <w:top w:val="single" w:sz="4" w:space="0" w:color="auto"/>
            </w:tcBorders>
          </w:tcPr>
          <w:p w14:paraId="6BED32F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P</w:t>
            </w:r>
          </w:p>
        </w:tc>
      </w:tr>
      <w:tr w:rsidR="00853B1D" w:rsidRPr="00C74F6D" w14:paraId="736693D2" w14:textId="77777777" w:rsidTr="00F8261F">
        <w:trPr>
          <w:jc w:val="center"/>
        </w:trPr>
        <w:tc>
          <w:tcPr>
            <w:tcW w:w="1085" w:type="dxa"/>
            <w:vMerge w:val="restart"/>
          </w:tcPr>
          <w:p w14:paraId="07DEAFB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Age</w:t>
            </w:r>
          </w:p>
        </w:tc>
        <w:tc>
          <w:tcPr>
            <w:tcW w:w="1656" w:type="dxa"/>
            <w:vMerge w:val="restart"/>
          </w:tcPr>
          <w:p w14:paraId="05077E9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≤50</w:t>
            </w:r>
          </w:p>
        </w:tc>
        <w:tc>
          <w:tcPr>
            <w:tcW w:w="1514" w:type="dxa"/>
          </w:tcPr>
          <w:p w14:paraId="0B8FED1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1368" w:type="dxa"/>
          </w:tcPr>
          <w:p w14:paraId="2B86CEA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4</w:t>
            </w:r>
          </w:p>
        </w:tc>
        <w:tc>
          <w:tcPr>
            <w:tcW w:w="998" w:type="dxa"/>
          </w:tcPr>
          <w:p w14:paraId="6DB324A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16</w:t>
            </w:r>
          </w:p>
        </w:tc>
        <w:tc>
          <w:tcPr>
            <w:tcW w:w="1000" w:type="dxa"/>
          </w:tcPr>
          <w:p w14:paraId="0C91ECCB"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7</w:t>
            </w:r>
          </w:p>
        </w:tc>
        <w:tc>
          <w:tcPr>
            <w:tcW w:w="1000" w:type="dxa"/>
          </w:tcPr>
          <w:p w14:paraId="5535DE3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w:t>
            </w:r>
          </w:p>
        </w:tc>
        <w:tc>
          <w:tcPr>
            <w:tcW w:w="891" w:type="dxa"/>
          </w:tcPr>
          <w:p w14:paraId="0E9AE63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28</w:t>
            </w:r>
          </w:p>
        </w:tc>
        <w:tc>
          <w:tcPr>
            <w:tcW w:w="707" w:type="dxa"/>
            <w:vMerge w:val="restart"/>
          </w:tcPr>
          <w:p w14:paraId="677E4D41"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0.012</w:t>
            </w:r>
          </w:p>
        </w:tc>
      </w:tr>
      <w:tr w:rsidR="00853B1D" w:rsidRPr="00C74F6D" w14:paraId="16A30546" w14:textId="77777777" w:rsidTr="00F8261F">
        <w:trPr>
          <w:jc w:val="center"/>
        </w:trPr>
        <w:tc>
          <w:tcPr>
            <w:tcW w:w="1085" w:type="dxa"/>
            <w:vMerge/>
          </w:tcPr>
          <w:p w14:paraId="4141DDFE"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656" w:type="dxa"/>
            <w:vMerge/>
          </w:tcPr>
          <w:p w14:paraId="16EE391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514" w:type="dxa"/>
          </w:tcPr>
          <w:p w14:paraId="4C11A6D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1368" w:type="dxa"/>
          </w:tcPr>
          <w:p w14:paraId="5C3B2EE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14.2%</w:t>
            </w:r>
          </w:p>
        </w:tc>
        <w:tc>
          <w:tcPr>
            <w:tcW w:w="998" w:type="dxa"/>
          </w:tcPr>
          <w:p w14:paraId="6582F36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57.2%</w:t>
            </w:r>
          </w:p>
        </w:tc>
        <w:tc>
          <w:tcPr>
            <w:tcW w:w="1000" w:type="dxa"/>
          </w:tcPr>
          <w:p w14:paraId="6BC001E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25%</w:t>
            </w:r>
          </w:p>
        </w:tc>
        <w:tc>
          <w:tcPr>
            <w:tcW w:w="1000" w:type="dxa"/>
          </w:tcPr>
          <w:p w14:paraId="40157B5E"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3.6%</w:t>
            </w:r>
          </w:p>
        </w:tc>
        <w:tc>
          <w:tcPr>
            <w:tcW w:w="891" w:type="dxa"/>
          </w:tcPr>
          <w:p w14:paraId="132AA29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65AC1B5F"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r>
      <w:tr w:rsidR="00853B1D" w:rsidRPr="00C74F6D" w14:paraId="60999B04" w14:textId="77777777" w:rsidTr="00F8261F">
        <w:trPr>
          <w:jc w:val="center"/>
        </w:trPr>
        <w:tc>
          <w:tcPr>
            <w:tcW w:w="1085" w:type="dxa"/>
            <w:vMerge/>
          </w:tcPr>
          <w:p w14:paraId="070E084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656" w:type="dxa"/>
            <w:vMerge w:val="restart"/>
          </w:tcPr>
          <w:p w14:paraId="406047F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&gt;50</w:t>
            </w:r>
          </w:p>
        </w:tc>
        <w:tc>
          <w:tcPr>
            <w:tcW w:w="1514" w:type="dxa"/>
          </w:tcPr>
          <w:p w14:paraId="48B57CB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1368" w:type="dxa"/>
          </w:tcPr>
          <w:p w14:paraId="757F265D"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w:t>
            </w:r>
          </w:p>
        </w:tc>
        <w:tc>
          <w:tcPr>
            <w:tcW w:w="998" w:type="dxa"/>
          </w:tcPr>
          <w:p w14:paraId="29EFB77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w:t>
            </w:r>
          </w:p>
        </w:tc>
        <w:tc>
          <w:tcPr>
            <w:tcW w:w="1000" w:type="dxa"/>
          </w:tcPr>
          <w:p w14:paraId="6C5E4FD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20</w:t>
            </w:r>
          </w:p>
        </w:tc>
        <w:tc>
          <w:tcPr>
            <w:tcW w:w="1000" w:type="dxa"/>
          </w:tcPr>
          <w:p w14:paraId="7929850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w:t>
            </w:r>
          </w:p>
        </w:tc>
        <w:tc>
          <w:tcPr>
            <w:tcW w:w="891" w:type="dxa"/>
          </w:tcPr>
          <w:p w14:paraId="48E1580D"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35</w:t>
            </w:r>
          </w:p>
        </w:tc>
        <w:tc>
          <w:tcPr>
            <w:tcW w:w="707" w:type="dxa"/>
            <w:vMerge/>
          </w:tcPr>
          <w:p w14:paraId="07FBC3F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r>
      <w:tr w:rsidR="00853B1D" w:rsidRPr="00C74F6D" w14:paraId="3F5F61A0" w14:textId="77777777" w:rsidTr="00F8261F">
        <w:trPr>
          <w:jc w:val="center"/>
        </w:trPr>
        <w:tc>
          <w:tcPr>
            <w:tcW w:w="1085" w:type="dxa"/>
            <w:vMerge/>
          </w:tcPr>
          <w:p w14:paraId="7FDCE2CF"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656" w:type="dxa"/>
            <w:vMerge/>
          </w:tcPr>
          <w:p w14:paraId="57F610C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514" w:type="dxa"/>
          </w:tcPr>
          <w:p w14:paraId="15EEFD5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1368" w:type="dxa"/>
          </w:tcPr>
          <w:p w14:paraId="0C78971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8..6%</w:t>
            </w:r>
          </w:p>
        </w:tc>
        <w:tc>
          <w:tcPr>
            <w:tcW w:w="998" w:type="dxa"/>
          </w:tcPr>
          <w:p w14:paraId="0948391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28.5%</w:t>
            </w:r>
          </w:p>
        </w:tc>
        <w:tc>
          <w:tcPr>
            <w:tcW w:w="1000" w:type="dxa"/>
          </w:tcPr>
          <w:p w14:paraId="32C255D6"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57.2%</w:t>
            </w:r>
          </w:p>
        </w:tc>
        <w:tc>
          <w:tcPr>
            <w:tcW w:w="1000" w:type="dxa"/>
          </w:tcPr>
          <w:p w14:paraId="6463B49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5.7%</w:t>
            </w:r>
          </w:p>
        </w:tc>
        <w:tc>
          <w:tcPr>
            <w:tcW w:w="891" w:type="dxa"/>
          </w:tcPr>
          <w:p w14:paraId="60146B2F"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0A60D1DA"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r>
      <w:tr w:rsidR="00853B1D" w:rsidRPr="00C74F6D" w14:paraId="7C19F16D" w14:textId="77777777" w:rsidTr="00F8261F">
        <w:trPr>
          <w:jc w:val="center"/>
        </w:trPr>
        <w:tc>
          <w:tcPr>
            <w:tcW w:w="1085" w:type="dxa"/>
            <w:vMerge w:val="restart"/>
          </w:tcPr>
          <w:p w14:paraId="4931114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Smoking</w:t>
            </w:r>
          </w:p>
        </w:tc>
        <w:tc>
          <w:tcPr>
            <w:tcW w:w="1656" w:type="dxa"/>
            <w:vMerge w:val="restart"/>
          </w:tcPr>
          <w:p w14:paraId="7A7024E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Yes</w:t>
            </w:r>
          </w:p>
        </w:tc>
        <w:tc>
          <w:tcPr>
            <w:tcW w:w="1514" w:type="dxa"/>
          </w:tcPr>
          <w:p w14:paraId="3B43E15F"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1368" w:type="dxa"/>
          </w:tcPr>
          <w:p w14:paraId="3629C95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w:t>
            </w:r>
          </w:p>
        </w:tc>
        <w:tc>
          <w:tcPr>
            <w:tcW w:w="998" w:type="dxa"/>
          </w:tcPr>
          <w:p w14:paraId="7C1CC6B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16</w:t>
            </w:r>
          </w:p>
        </w:tc>
        <w:tc>
          <w:tcPr>
            <w:tcW w:w="1000" w:type="dxa"/>
          </w:tcPr>
          <w:p w14:paraId="76FF833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25</w:t>
            </w:r>
          </w:p>
        </w:tc>
        <w:tc>
          <w:tcPr>
            <w:tcW w:w="1000" w:type="dxa"/>
          </w:tcPr>
          <w:p w14:paraId="4358B14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w:t>
            </w:r>
          </w:p>
        </w:tc>
        <w:tc>
          <w:tcPr>
            <w:tcW w:w="891" w:type="dxa"/>
          </w:tcPr>
          <w:p w14:paraId="3C9535AD"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45</w:t>
            </w:r>
          </w:p>
        </w:tc>
        <w:tc>
          <w:tcPr>
            <w:tcW w:w="707" w:type="dxa"/>
            <w:vMerge w:val="restart"/>
          </w:tcPr>
          <w:p w14:paraId="4338FBA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0.019</w:t>
            </w:r>
          </w:p>
        </w:tc>
      </w:tr>
      <w:tr w:rsidR="00853B1D" w:rsidRPr="00C74F6D" w14:paraId="72DA7B93" w14:textId="77777777" w:rsidTr="00F8261F">
        <w:trPr>
          <w:jc w:val="center"/>
        </w:trPr>
        <w:tc>
          <w:tcPr>
            <w:tcW w:w="1085" w:type="dxa"/>
            <w:vMerge/>
          </w:tcPr>
          <w:p w14:paraId="0A4FEDAB"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656" w:type="dxa"/>
            <w:vMerge/>
          </w:tcPr>
          <w:p w14:paraId="375D716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514" w:type="dxa"/>
          </w:tcPr>
          <w:p w14:paraId="16D3F2FB"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1368" w:type="dxa"/>
          </w:tcPr>
          <w:p w14:paraId="5C1D3F01"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4.5%</w:t>
            </w:r>
          </w:p>
        </w:tc>
        <w:tc>
          <w:tcPr>
            <w:tcW w:w="998" w:type="dxa"/>
          </w:tcPr>
          <w:p w14:paraId="6906EF90"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34.5%</w:t>
            </w:r>
          </w:p>
        </w:tc>
        <w:tc>
          <w:tcPr>
            <w:tcW w:w="1000" w:type="dxa"/>
          </w:tcPr>
          <w:p w14:paraId="4A215E3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55.5%</w:t>
            </w:r>
          </w:p>
        </w:tc>
        <w:tc>
          <w:tcPr>
            <w:tcW w:w="1000" w:type="dxa"/>
          </w:tcPr>
          <w:p w14:paraId="7D2894A8"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4.5%</w:t>
            </w:r>
          </w:p>
        </w:tc>
        <w:tc>
          <w:tcPr>
            <w:tcW w:w="891" w:type="dxa"/>
          </w:tcPr>
          <w:p w14:paraId="18DBFD1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4A88881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r>
      <w:tr w:rsidR="00853B1D" w:rsidRPr="00C74F6D" w14:paraId="6AC2BC7C" w14:textId="77777777" w:rsidTr="00F8261F">
        <w:trPr>
          <w:jc w:val="center"/>
        </w:trPr>
        <w:tc>
          <w:tcPr>
            <w:tcW w:w="1085" w:type="dxa"/>
            <w:vMerge/>
          </w:tcPr>
          <w:p w14:paraId="42C3BBB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656" w:type="dxa"/>
            <w:vMerge w:val="restart"/>
          </w:tcPr>
          <w:p w14:paraId="6A04A14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No</w:t>
            </w:r>
          </w:p>
        </w:tc>
        <w:tc>
          <w:tcPr>
            <w:tcW w:w="1514" w:type="dxa"/>
          </w:tcPr>
          <w:p w14:paraId="4EAB5C02"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1368" w:type="dxa"/>
          </w:tcPr>
          <w:p w14:paraId="1EF59C4F"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w:t>
            </w:r>
          </w:p>
        </w:tc>
        <w:tc>
          <w:tcPr>
            <w:tcW w:w="998" w:type="dxa"/>
          </w:tcPr>
          <w:p w14:paraId="4F7A458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w:t>
            </w:r>
          </w:p>
        </w:tc>
        <w:tc>
          <w:tcPr>
            <w:tcW w:w="1000" w:type="dxa"/>
          </w:tcPr>
          <w:p w14:paraId="20CA7383"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w:t>
            </w:r>
          </w:p>
        </w:tc>
        <w:tc>
          <w:tcPr>
            <w:tcW w:w="1000" w:type="dxa"/>
          </w:tcPr>
          <w:p w14:paraId="11BE1AC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w:t>
            </w:r>
          </w:p>
        </w:tc>
        <w:tc>
          <w:tcPr>
            <w:tcW w:w="891" w:type="dxa"/>
          </w:tcPr>
          <w:p w14:paraId="4516AC0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18</w:t>
            </w:r>
          </w:p>
        </w:tc>
        <w:tc>
          <w:tcPr>
            <w:tcW w:w="707" w:type="dxa"/>
            <w:vMerge/>
          </w:tcPr>
          <w:p w14:paraId="11D31B1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r>
      <w:tr w:rsidR="00853B1D" w:rsidRPr="00C74F6D" w14:paraId="2FA27095" w14:textId="77777777" w:rsidTr="00F8261F">
        <w:trPr>
          <w:jc w:val="center"/>
        </w:trPr>
        <w:tc>
          <w:tcPr>
            <w:tcW w:w="1085" w:type="dxa"/>
            <w:vMerge/>
          </w:tcPr>
          <w:p w14:paraId="4BC5C24E"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656" w:type="dxa"/>
            <w:vMerge/>
          </w:tcPr>
          <w:p w14:paraId="7CBBFB5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c>
          <w:tcPr>
            <w:tcW w:w="1514" w:type="dxa"/>
          </w:tcPr>
          <w:p w14:paraId="52A5D347"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1368" w:type="dxa"/>
          </w:tcPr>
          <w:p w14:paraId="3EA73E1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27.8%</w:t>
            </w:r>
          </w:p>
        </w:tc>
        <w:tc>
          <w:tcPr>
            <w:tcW w:w="998" w:type="dxa"/>
          </w:tcPr>
          <w:p w14:paraId="3106808E"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55.5%</w:t>
            </w:r>
          </w:p>
        </w:tc>
        <w:tc>
          <w:tcPr>
            <w:tcW w:w="1000" w:type="dxa"/>
          </w:tcPr>
          <w:p w14:paraId="617E8CE5"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11.2%</w:t>
            </w:r>
          </w:p>
        </w:tc>
        <w:tc>
          <w:tcPr>
            <w:tcW w:w="1000" w:type="dxa"/>
          </w:tcPr>
          <w:p w14:paraId="4EF007B4"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5.5%</w:t>
            </w:r>
          </w:p>
        </w:tc>
        <w:tc>
          <w:tcPr>
            <w:tcW w:w="891" w:type="dxa"/>
          </w:tcPr>
          <w:p w14:paraId="69646E69"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4CECB32C" w14:textId="77777777" w:rsidR="00853B1D" w:rsidRPr="00C74F6D" w:rsidRDefault="00853B1D" w:rsidP="00F8261F">
            <w:pPr>
              <w:autoSpaceDE w:val="0"/>
              <w:autoSpaceDN w:val="0"/>
              <w:adjustRightInd w:val="0"/>
              <w:spacing w:line="340" w:lineRule="atLeast"/>
              <w:ind w:left="-57" w:right="-57"/>
              <w:jc w:val="both"/>
              <w:rPr>
                <w:rFonts w:asciiTheme="majorBidi" w:hAnsiTheme="majorBidi" w:cstheme="majorBidi"/>
                <w:spacing w:val="-2"/>
                <w:lang w:bidi="ar-SA"/>
              </w:rPr>
            </w:pPr>
          </w:p>
        </w:tc>
      </w:tr>
    </w:tbl>
    <w:p w14:paraId="05C5D68E" w14:textId="77777777" w:rsidR="00853B1D" w:rsidRPr="007634B1" w:rsidRDefault="00853B1D" w:rsidP="00853B1D">
      <w:pPr>
        <w:spacing w:after="0" w:line="360" w:lineRule="auto"/>
        <w:rPr>
          <w:rFonts w:asciiTheme="majorBidi" w:hAnsiTheme="majorBidi" w:cstheme="majorBidi"/>
          <w:i/>
          <w:iCs/>
          <w:spacing w:val="-2"/>
          <w:sz w:val="18"/>
          <w:szCs w:val="18"/>
        </w:rPr>
      </w:pPr>
    </w:p>
    <w:p w14:paraId="11C4B192" w14:textId="77777777" w:rsidR="00853B1D" w:rsidRPr="00C74F6D" w:rsidRDefault="00853B1D" w:rsidP="00853B1D">
      <w:pPr>
        <w:spacing w:after="0" w:line="360" w:lineRule="auto"/>
        <w:jc w:val="both"/>
        <w:rPr>
          <w:rFonts w:asciiTheme="majorBidi" w:hAnsiTheme="majorBidi" w:cstheme="majorBidi"/>
          <w:spacing w:val="-2"/>
          <w:rtl/>
        </w:rPr>
      </w:pPr>
    </w:p>
    <w:p w14:paraId="41DCF96B" w14:textId="77777777" w:rsidR="00853B1D" w:rsidRPr="00C74F6D" w:rsidRDefault="00853B1D" w:rsidP="00853B1D">
      <w:pPr>
        <w:spacing w:after="0" w:line="360" w:lineRule="auto"/>
        <w:jc w:val="both"/>
        <w:rPr>
          <w:rFonts w:asciiTheme="majorBidi" w:hAnsiTheme="majorBidi" w:cstheme="majorBidi"/>
          <w:spacing w:val="-2"/>
        </w:rPr>
      </w:pPr>
    </w:p>
    <w:p w14:paraId="55594D5E" w14:textId="77777777" w:rsidR="00853B1D" w:rsidRPr="00C74F6D" w:rsidRDefault="00853B1D" w:rsidP="00853B1D">
      <w:pPr>
        <w:autoSpaceDE w:val="0"/>
        <w:autoSpaceDN w:val="0"/>
        <w:adjustRightInd w:val="0"/>
        <w:spacing w:after="0" w:line="360" w:lineRule="auto"/>
        <w:jc w:val="both"/>
        <w:rPr>
          <w:rFonts w:asciiTheme="majorBidi" w:hAnsiTheme="majorBidi" w:cstheme="majorBidi"/>
          <w:spacing w:val="-2"/>
        </w:rPr>
      </w:pPr>
      <w:r w:rsidRPr="00C74F6D">
        <w:rPr>
          <w:rFonts w:asciiTheme="majorBidi" w:hAnsiTheme="majorBidi" w:cstheme="majorBidi"/>
          <w:b/>
          <w:bCs/>
          <w:spacing w:val="-2"/>
        </w:rPr>
        <w:t>Table 4</w:t>
      </w:r>
      <w:r>
        <w:rPr>
          <w:rStyle w:val="FootnoteReference"/>
          <w:rFonts w:asciiTheme="majorBidi" w:hAnsiTheme="majorBidi" w:cstheme="majorBidi"/>
          <w:b/>
          <w:bCs/>
          <w:spacing w:val="-2"/>
        </w:rPr>
        <w:footnoteReference w:id="2"/>
      </w:r>
      <w:r w:rsidRPr="00C74F6D">
        <w:rPr>
          <w:rFonts w:asciiTheme="majorBidi" w:hAnsiTheme="majorBidi" w:cstheme="majorBidi"/>
          <w:b/>
          <w:bCs/>
          <w:spacing w:val="-2"/>
        </w:rPr>
        <w:t>:</w:t>
      </w:r>
      <w:r w:rsidRPr="00C74F6D">
        <w:rPr>
          <w:rFonts w:asciiTheme="majorBidi" w:hAnsiTheme="majorBidi" w:cstheme="majorBidi"/>
          <w:spacing w:val="-2"/>
        </w:rPr>
        <w:t xml:space="preserve"> </w:t>
      </w:r>
      <w:r w:rsidRPr="007634B1">
        <w:rPr>
          <w:rFonts w:asciiTheme="majorBidi" w:hAnsiTheme="majorBidi" w:cstheme="majorBidi"/>
          <w:spacing w:val="-2"/>
        </w:rPr>
        <w:t>Distribution of duration of lesion presence before seeking treatment among oral squamous cell carcinoma patients by age and smoking status</w:t>
      </w:r>
      <w:r>
        <w:rPr>
          <w:rFonts w:asciiTheme="majorBidi" w:hAnsiTheme="majorBidi" w:cstheme="majorBidi" w:hint="cs"/>
          <w:spacing w:val="-2"/>
          <w:rtl/>
        </w:rPr>
        <w:t>.</w:t>
      </w:r>
    </w:p>
    <w:tbl>
      <w:tblPr>
        <w:tblStyle w:val="TableGrid"/>
        <w:tblW w:w="9349" w:type="dxa"/>
        <w:jc w:val="center"/>
        <w:tblLayout w:type="fixed"/>
        <w:tblLook w:val="0000" w:firstRow="0" w:lastRow="0" w:firstColumn="0" w:lastColumn="0" w:noHBand="0" w:noVBand="0"/>
      </w:tblPr>
      <w:tblGrid>
        <w:gridCol w:w="1263"/>
        <w:gridCol w:w="905"/>
        <w:gridCol w:w="1157"/>
        <w:gridCol w:w="781"/>
        <w:gridCol w:w="1160"/>
        <w:gridCol w:w="1408"/>
        <w:gridCol w:w="1077"/>
        <w:gridCol w:w="891"/>
        <w:gridCol w:w="707"/>
      </w:tblGrid>
      <w:tr w:rsidR="00853B1D" w:rsidRPr="00C74F6D" w14:paraId="25A7FF03" w14:textId="77777777" w:rsidTr="00F8261F">
        <w:trPr>
          <w:trHeight w:val="896"/>
          <w:jc w:val="center"/>
        </w:trPr>
        <w:tc>
          <w:tcPr>
            <w:tcW w:w="1263" w:type="dxa"/>
          </w:tcPr>
          <w:p w14:paraId="5DFA04A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p>
        </w:tc>
        <w:tc>
          <w:tcPr>
            <w:tcW w:w="2062" w:type="dxa"/>
            <w:gridSpan w:val="2"/>
          </w:tcPr>
          <w:p w14:paraId="5B90B3DC"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r w:rsidRPr="00C74F6D">
              <w:rPr>
                <w:rFonts w:asciiTheme="majorBidi" w:hAnsiTheme="majorBidi" w:cstheme="majorBidi"/>
                <w:b/>
                <w:bCs/>
                <w:spacing w:val="-2"/>
              </w:rPr>
              <w:t>Symptoms at the time of examination</w:t>
            </w:r>
          </w:p>
        </w:tc>
        <w:tc>
          <w:tcPr>
            <w:tcW w:w="781" w:type="dxa"/>
          </w:tcPr>
          <w:p w14:paraId="5950E62C"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Pain</w:t>
            </w:r>
          </w:p>
        </w:tc>
        <w:tc>
          <w:tcPr>
            <w:tcW w:w="1160" w:type="dxa"/>
          </w:tcPr>
          <w:p w14:paraId="0F9B0B5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Pain and Burning sensation</w:t>
            </w:r>
          </w:p>
        </w:tc>
        <w:tc>
          <w:tcPr>
            <w:tcW w:w="1408" w:type="dxa"/>
          </w:tcPr>
          <w:p w14:paraId="4A0FBF68"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Pain, Burning sensation</w:t>
            </w:r>
            <w:r>
              <w:rPr>
                <w:rFonts w:asciiTheme="majorBidi" w:hAnsiTheme="majorBidi" w:cstheme="majorBidi"/>
                <w:b/>
                <w:bCs/>
                <w:spacing w:val="-2"/>
                <w:lang w:bidi="ar-SA"/>
              </w:rPr>
              <w:t>,</w:t>
            </w:r>
            <w:r w:rsidRPr="00C74F6D">
              <w:rPr>
                <w:rFonts w:asciiTheme="majorBidi" w:hAnsiTheme="majorBidi" w:cstheme="majorBidi"/>
                <w:b/>
                <w:bCs/>
                <w:spacing w:val="-2"/>
                <w:lang w:bidi="ar-SA"/>
              </w:rPr>
              <w:t xml:space="preserve"> and Hemorrhage</w:t>
            </w:r>
          </w:p>
        </w:tc>
        <w:tc>
          <w:tcPr>
            <w:tcW w:w="1077" w:type="dxa"/>
          </w:tcPr>
          <w:p w14:paraId="592EE3B4"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Without symptoms</w:t>
            </w:r>
          </w:p>
        </w:tc>
        <w:tc>
          <w:tcPr>
            <w:tcW w:w="891" w:type="dxa"/>
            <w:tcBorders>
              <w:top w:val="single" w:sz="4" w:space="0" w:color="auto"/>
            </w:tcBorders>
          </w:tcPr>
          <w:p w14:paraId="76E251F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Total</w:t>
            </w:r>
          </w:p>
        </w:tc>
        <w:tc>
          <w:tcPr>
            <w:tcW w:w="707" w:type="dxa"/>
            <w:tcBorders>
              <w:top w:val="single" w:sz="4" w:space="0" w:color="auto"/>
            </w:tcBorders>
          </w:tcPr>
          <w:p w14:paraId="636E9DC8"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b/>
                <w:bCs/>
                <w:spacing w:val="-2"/>
                <w:lang w:bidi="ar-SA"/>
              </w:rPr>
            </w:pPr>
            <w:r w:rsidRPr="00C74F6D">
              <w:rPr>
                <w:rFonts w:asciiTheme="majorBidi" w:hAnsiTheme="majorBidi" w:cstheme="majorBidi"/>
                <w:b/>
                <w:bCs/>
                <w:spacing w:val="-2"/>
                <w:lang w:bidi="ar-SA"/>
              </w:rPr>
              <w:t>P</w:t>
            </w:r>
          </w:p>
        </w:tc>
      </w:tr>
      <w:tr w:rsidR="00853B1D" w:rsidRPr="00C74F6D" w14:paraId="589CFC0A" w14:textId="77777777" w:rsidTr="00F8261F">
        <w:trPr>
          <w:trHeight w:val="294"/>
          <w:jc w:val="center"/>
        </w:trPr>
        <w:tc>
          <w:tcPr>
            <w:tcW w:w="1263" w:type="dxa"/>
            <w:vMerge w:val="restart"/>
          </w:tcPr>
          <w:p w14:paraId="38EEEB8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Sex</w:t>
            </w:r>
          </w:p>
        </w:tc>
        <w:tc>
          <w:tcPr>
            <w:tcW w:w="905" w:type="dxa"/>
            <w:vMerge w:val="restart"/>
          </w:tcPr>
          <w:p w14:paraId="40CDB6C3"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Male</w:t>
            </w:r>
          </w:p>
        </w:tc>
        <w:tc>
          <w:tcPr>
            <w:tcW w:w="1157" w:type="dxa"/>
          </w:tcPr>
          <w:p w14:paraId="2EE93D31"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781" w:type="dxa"/>
          </w:tcPr>
          <w:p w14:paraId="44DD5F49"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7</w:t>
            </w:r>
          </w:p>
        </w:tc>
        <w:tc>
          <w:tcPr>
            <w:tcW w:w="1160" w:type="dxa"/>
          </w:tcPr>
          <w:p w14:paraId="7B9D4F3A"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9</w:t>
            </w:r>
          </w:p>
        </w:tc>
        <w:tc>
          <w:tcPr>
            <w:tcW w:w="1408" w:type="dxa"/>
          </w:tcPr>
          <w:p w14:paraId="5CF570DC"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9</w:t>
            </w:r>
          </w:p>
        </w:tc>
        <w:tc>
          <w:tcPr>
            <w:tcW w:w="1077" w:type="dxa"/>
          </w:tcPr>
          <w:p w14:paraId="4EF78D73"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4</w:t>
            </w:r>
          </w:p>
        </w:tc>
        <w:tc>
          <w:tcPr>
            <w:tcW w:w="891" w:type="dxa"/>
          </w:tcPr>
          <w:p w14:paraId="09FA5357"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29</w:t>
            </w:r>
          </w:p>
        </w:tc>
        <w:tc>
          <w:tcPr>
            <w:tcW w:w="707" w:type="dxa"/>
            <w:vMerge w:val="restart"/>
          </w:tcPr>
          <w:p w14:paraId="635BECEC"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0.02</w:t>
            </w:r>
            <w:r>
              <w:rPr>
                <w:rFonts w:asciiTheme="majorBidi" w:hAnsiTheme="majorBidi" w:cstheme="majorBidi" w:hint="cs"/>
                <w:spacing w:val="-2"/>
                <w:rtl/>
                <w:lang w:bidi="ar-SA"/>
              </w:rPr>
              <w:t>0</w:t>
            </w:r>
          </w:p>
        </w:tc>
      </w:tr>
      <w:tr w:rsidR="00853B1D" w:rsidRPr="00C74F6D" w14:paraId="38C2A53B" w14:textId="77777777" w:rsidTr="00F8261F">
        <w:trPr>
          <w:trHeight w:val="308"/>
          <w:jc w:val="center"/>
        </w:trPr>
        <w:tc>
          <w:tcPr>
            <w:tcW w:w="1263" w:type="dxa"/>
            <w:vMerge/>
          </w:tcPr>
          <w:p w14:paraId="197DF177"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905" w:type="dxa"/>
            <w:vMerge/>
          </w:tcPr>
          <w:p w14:paraId="0FA50FF1"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1157" w:type="dxa"/>
          </w:tcPr>
          <w:p w14:paraId="4A613C6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781" w:type="dxa"/>
          </w:tcPr>
          <w:p w14:paraId="0F565F69"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24.1%</w:t>
            </w:r>
          </w:p>
        </w:tc>
        <w:tc>
          <w:tcPr>
            <w:tcW w:w="1160" w:type="dxa"/>
          </w:tcPr>
          <w:p w14:paraId="7F96F08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31.0%</w:t>
            </w:r>
          </w:p>
        </w:tc>
        <w:tc>
          <w:tcPr>
            <w:tcW w:w="1408" w:type="dxa"/>
          </w:tcPr>
          <w:p w14:paraId="5C96130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31.0%</w:t>
            </w:r>
          </w:p>
        </w:tc>
        <w:tc>
          <w:tcPr>
            <w:tcW w:w="1077" w:type="dxa"/>
          </w:tcPr>
          <w:p w14:paraId="0465D9E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13.8%</w:t>
            </w:r>
          </w:p>
        </w:tc>
        <w:tc>
          <w:tcPr>
            <w:tcW w:w="891" w:type="dxa"/>
          </w:tcPr>
          <w:p w14:paraId="52662AC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3483A0F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r>
      <w:tr w:rsidR="00853B1D" w:rsidRPr="00C74F6D" w14:paraId="1E83F77B" w14:textId="77777777" w:rsidTr="00F8261F">
        <w:trPr>
          <w:trHeight w:val="308"/>
          <w:jc w:val="center"/>
        </w:trPr>
        <w:tc>
          <w:tcPr>
            <w:tcW w:w="1263" w:type="dxa"/>
            <w:vMerge/>
          </w:tcPr>
          <w:p w14:paraId="1E499430"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905" w:type="dxa"/>
            <w:vMerge w:val="restart"/>
          </w:tcPr>
          <w:p w14:paraId="07C6C16B"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Female</w:t>
            </w:r>
          </w:p>
        </w:tc>
        <w:tc>
          <w:tcPr>
            <w:tcW w:w="1157" w:type="dxa"/>
          </w:tcPr>
          <w:p w14:paraId="6EF6E063"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781" w:type="dxa"/>
          </w:tcPr>
          <w:p w14:paraId="100B30DA"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15</w:t>
            </w:r>
          </w:p>
        </w:tc>
        <w:tc>
          <w:tcPr>
            <w:tcW w:w="1160" w:type="dxa"/>
          </w:tcPr>
          <w:p w14:paraId="185DCA7A"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w:t>
            </w:r>
          </w:p>
        </w:tc>
        <w:tc>
          <w:tcPr>
            <w:tcW w:w="1408" w:type="dxa"/>
          </w:tcPr>
          <w:p w14:paraId="612D7566"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12</w:t>
            </w:r>
          </w:p>
        </w:tc>
        <w:tc>
          <w:tcPr>
            <w:tcW w:w="1077" w:type="dxa"/>
          </w:tcPr>
          <w:p w14:paraId="27FDA40C"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6</w:t>
            </w:r>
          </w:p>
        </w:tc>
        <w:tc>
          <w:tcPr>
            <w:tcW w:w="891" w:type="dxa"/>
          </w:tcPr>
          <w:p w14:paraId="488B199B"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34</w:t>
            </w:r>
          </w:p>
        </w:tc>
        <w:tc>
          <w:tcPr>
            <w:tcW w:w="707" w:type="dxa"/>
            <w:vMerge/>
          </w:tcPr>
          <w:p w14:paraId="1B62207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r>
      <w:tr w:rsidR="00853B1D" w:rsidRPr="00C74F6D" w14:paraId="472C5F0A" w14:textId="77777777" w:rsidTr="00F8261F">
        <w:trPr>
          <w:trHeight w:val="308"/>
          <w:jc w:val="center"/>
        </w:trPr>
        <w:tc>
          <w:tcPr>
            <w:tcW w:w="1263" w:type="dxa"/>
            <w:vMerge/>
          </w:tcPr>
          <w:p w14:paraId="47B9EE6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905" w:type="dxa"/>
            <w:vMerge/>
          </w:tcPr>
          <w:p w14:paraId="42FB61D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1157" w:type="dxa"/>
          </w:tcPr>
          <w:p w14:paraId="40E499EB"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781" w:type="dxa"/>
          </w:tcPr>
          <w:p w14:paraId="1CF1A40A"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44.1%</w:t>
            </w:r>
          </w:p>
        </w:tc>
        <w:tc>
          <w:tcPr>
            <w:tcW w:w="1160" w:type="dxa"/>
          </w:tcPr>
          <w:p w14:paraId="7D2EDB09"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2.9%</w:t>
            </w:r>
          </w:p>
        </w:tc>
        <w:tc>
          <w:tcPr>
            <w:tcW w:w="1408" w:type="dxa"/>
          </w:tcPr>
          <w:p w14:paraId="0995EC7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35.3%</w:t>
            </w:r>
          </w:p>
        </w:tc>
        <w:tc>
          <w:tcPr>
            <w:tcW w:w="1077" w:type="dxa"/>
          </w:tcPr>
          <w:p w14:paraId="579C94C6"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17.6%</w:t>
            </w:r>
          </w:p>
        </w:tc>
        <w:tc>
          <w:tcPr>
            <w:tcW w:w="891" w:type="dxa"/>
          </w:tcPr>
          <w:p w14:paraId="2D045516"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1A40E8B6"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r>
      <w:tr w:rsidR="00853B1D" w:rsidRPr="00C74F6D" w14:paraId="5EC1F4F6" w14:textId="77777777" w:rsidTr="00F8261F">
        <w:trPr>
          <w:trHeight w:val="294"/>
          <w:jc w:val="center"/>
        </w:trPr>
        <w:tc>
          <w:tcPr>
            <w:tcW w:w="1263" w:type="dxa"/>
            <w:vMerge w:val="restart"/>
          </w:tcPr>
          <w:p w14:paraId="0C46E31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Age(year)</w:t>
            </w:r>
          </w:p>
        </w:tc>
        <w:tc>
          <w:tcPr>
            <w:tcW w:w="905" w:type="dxa"/>
            <w:vMerge w:val="restart"/>
          </w:tcPr>
          <w:p w14:paraId="1681D440"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≤50</w:t>
            </w:r>
          </w:p>
        </w:tc>
        <w:tc>
          <w:tcPr>
            <w:tcW w:w="1157" w:type="dxa"/>
          </w:tcPr>
          <w:p w14:paraId="0DB8634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781" w:type="dxa"/>
          </w:tcPr>
          <w:p w14:paraId="75C4A3C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12</w:t>
            </w:r>
          </w:p>
        </w:tc>
        <w:tc>
          <w:tcPr>
            <w:tcW w:w="1160" w:type="dxa"/>
          </w:tcPr>
          <w:p w14:paraId="13CD04F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0</w:t>
            </w:r>
          </w:p>
        </w:tc>
        <w:tc>
          <w:tcPr>
            <w:tcW w:w="1408" w:type="dxa"/>
          </w:tcPr>
          <w:p w14:paraId="3B43ECD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11</w:t>
            </w:r>
          </w:p>
        </w:tc>
        <w:tc>
          <w:tcPr>
            <w:tcW w:w="1077" w:type="dxa"/>
          </w:tcPr>
          <w:p w14:paraId="37E2CD87"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w:t>
            </w:r>
          </w:p>
        </w:tc>
        <w:tc>
          <w:tcPr>
            <w:tcW w:w="891" w:type="dxa"/>
          </w:tcPr>
          <w:p w14:paraId="12F3757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28</w:t>
            </w:r>
          </w:p>
        </w:tc>
        <w:tc>
          <w:tcPr>
            <w:tcW w:w="707" w:type="dxa"/>
            <w:vMerge w:val="restart"/>
          </w:tcPr>
          <w:p w14:paraId="20EDD2F0"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0.023</w:t>
            </w:r>
          </w:p>
        </w:tc>
      </w:tr>
      <w:tr w:rsidR="00853B1D" w:rsidRPr="00C74F6D" w14:paraId="4A6D1553" w14:textId="77777777" w:rsidTr="00F8261F">
        <w:trPr>
          <w:trHeight w:val="308"/>
          <w:jc w:val="center"/>
        </w:trPr>
        <w:tc>
          <w:tcPr>
            <w:tcW w:w="1263" w:type="dxa"/>
            <w:vMerge/>
          </w:tcPr>
          <w:p w14:paraId="51DF6EE9"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905" w:type="dxa"/>
            <w:vMerge/>
          </w:tcPr>
          <w:p w14:paraId="03AECFEB"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1157" w:type="dxa"/>
          </w:tcPr>
          <w:p w14:paraId="646B13BB"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781" w:type="dxa"/>
          </w:tcPr>
          <w:p w14:paraId="7AE0D0F6"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42.9%</w:t>
            </w:r>
          </w:p>
        </w:tc>
        <w:tc>
          <w:tcPr>
            <w:tcW w:w="1160" w:type="dxa"/>
          </w:tcPr>
          <w:p w14:paraId="1DBD5A04"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.0%</w:t>
            </w:r>
          </w:p>
        </w:tc>
        <w:tc>
          <w:tcPr>
            <w:tcW w:w="1408" w:type="dxa"/>
          </w:tcPr>
          <w:p w14:paraId="04330D9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39.3%</w:t>
            </w:r>
          </w:p>
        </w:tc>
        <w:tc>
          <w:tcPr>
            <w:tcW w:w="1077" w:type="dxa"/>
          </w:tcPr>
          <w:p w14:paraId="359E28C9"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17.9%</w:t>
            </w:r>
          </w:p>
        </w:tc>
        <w:tc>
          <w:tcPr>
            <w:tcW w:w="891" w:type="dxa"/>
          </w:tcPr>
          <w:p w14:paraId="0F8F7E50"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0EED8DF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r>
      <w:tr w:rsidR="00853B1D" w:rsidRPr="00C74F6D" w14:paraId="2D9969AE" w14:textId="77777777" w:rsidTr="00F8261F">
        <w:trPr>
          <w:trHeight w:val="308"/>
          <w:jc w:val="center"/>
        </w:trPr>
        <w:tc>
          <w:tcPr>
            <w:tcW w:w="1263" w:type="dxa"/>
            <w:vMerge/>
          </w:tcPr>
          <w:p w14:paraId="55D7F900"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905" w:type="dxa"/>
            <w:vMerge w:val="restart"/>
          </w:tcPr>
          <w:p w14:paraId="59786BC3"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&gt;50</w:t>
            </w:r>
          </w:p>
        </w:tc>
        <w:tc>
          <w:tcPr>
            <w:tcW w:w="1157" w:type="dxa"/>
          </w:tcPr>
          <w:p w14:paraId="7BCAEDDB"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N</w:t>
            </w:r>
          </w:p>
        </w:tc>
        <w:tc>
          <w:tcPr>
            <w:tcW w:w="781" w:type="dxa"/>
          </w:tcPr>
          <w:p w14:paraId="3313D87B"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w:t>
            </w:r>
          </w:p>
        </w:tc>
        <w:tc>
          <w:tcPr>
            <w:tcW w:w="1160" w:type="dxa"/>
          </w:tcPr>
          <w:p w14:paraId="1B64AC2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w:t>
            </w:r>
          </w:p>
        </w:tc>
        <w:tc>
          <w:tcPr>
            <w:tcW w:w="1408" w:type="dxa"/>
          </w:tcPr>
          <w:p w14:paraId="002CC988"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w:t>
            </w:r>
          </w:p>
        </w:tc>
        <w:tc>
          <w:tcPr>
            <w:tcW w:w="1077" w:type="dxa"/>
          </w:tcPr>
          <w:p w14:paraId="513C21D3"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5</w:t>
            </w:r>
          </w:p>
        </w:tc>
        <w:tc>
          <w:tcPr>
            <w:tcW w:w="891" w:type="dxa"/>
          </w:tcPr>
          <w:p w14:paraId="0AEA7712"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35</w:t>
            </w:r>
          </w:p>
        </w:tc>
        <w:tc>
          <w:tcPr>
            <w:tcW w:w="707" w:type="dxa"/>
            <w:vMerge/>
          </w:tcPr>
          <w:p w14:paraId="5FE6A01D"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r>
      <w:tr w:rsidR="00853B1D" w:rsidRPr="008F66D3" w14:paraId="4218551F" w14:textId="77777777" w:rsidTr="00F8261F">
        <w:trPr>
          <w:trHeight w:val="294"/>
          <w:jc w:val="center"/>
        </w:trPr>
        <w:tc>
          <w:tcPr>
            <w:tcW w:w="1263" w:type="dxa"/>
            <w:vMerge/>
          </w:tcPr>
          <w:p w14:paraId="7177F653"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905" w:type="dxa"/>
            <w:vMerge/>
          </w:tcPr>
          <w:p w14:paraId="2231BE3F"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c>
          <w:tcPr>
            <w:tcW w:w="1157" w:type="dxa"/>
          </w:tcPr>
          <w:p w14:paraId="695C4689"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w:t>
            </w:r>
          </w:p>
        </w:tc>
        <w:tc>
          <w:tcPr>
            <w:tcW w:w="781" w:type="dxa"/>
          </w:tcPr>
          <w:p w14:paraId="140AD2D5"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28.6%</w:t>
            </w:r>
          </w:p>
        </w:tc>
        <w:tc>
          <w:tcPr>
            <w:tcW w:w="1160" w:type="dxa"/>
          </w:tcPr>
          <w:p w14:paraId="7E46FFC7"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28.6%</w:t>
            </w:r>
          </w:p>
        </w:tc>
        <w:tc>
          <w:tcPr>
            <w:tcW w:w="1408" w:type="dxa"/>
          </w:tcPr>
          <w:p w14:paraId="04CF83A9"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28.6%</w:t>
            </w:r>
          </w:p>
        </w:tc>
        <w:tc>
          <w:tcPr>
            <w:tcW w:w="1077" w:type="dxa"/>
          </w:tcPr>
          <w:p w14:paraId="27FAA25E" w14:textId="77777777" w:rsidR="00853B1D" w:rsidRPr="00C74F6D"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14.3%</w:t>
            </w:r>
          </w:p>
        </w:tc>
        <w:tc>
          <w:tcPr>
            <w:tcW w:w="891" w:type="dxa"/>
          </w:tcPr>
          <w:p w14:paraId="5533BDEC" w14:textId="77777777" w:rsidR="00853B1D" w:rsidRPr="008F66D3"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r w:rsidRPr="00C74F6D">
              <w:rPr>
                <w:rFonts w:asciiTheme="majorBidi" w:hAnsiTheme="majorBidi" w:cstheme="majorBidi"/>
                <w:spacing w:val="-2"/>
                <w:lang w:bidi="ar-SA"/>
              </w:rPr>
              <w:t>100.0%</w:t>
            </w:r>
          </w:p>
        </w:tc>
        <w:tc>
          <w:tcPr>
            <w:tcW w:w="707" w:type="dxa"/>
            <w:vMerge/>
          </w:tcPr>
          <w:p w14:paraId="3D09F567" w14:textId="77777777" w:rsidR="00853B1D" w:rsidRPr="008F66D3" w:rsidRDefault="00853B1D" w:rsidP="00F8261F">
            <w:pPr>
              <w:autoSpaceDE w:val="0"/>
              <w:autoSpaceDN w:val="0"/>
              <w:adjustRightInd w:val="0"/>
              <w:spacing w:line="360" w:lineRule="auto"/>
              <w:ind w:left="-57" w:right="-57"/>
              <w:jc w:val="both"/>
              <w:rPr>
                <w:rFonts w:asciiTheme="majorBidi" w:hAnsiTheme="majorBidi" w:cstheme="majorBidi"/>
                <w:spacing w:val="-2"/>
                <w:lang w:bidi="ar-SA"/>
              </w:rPr>
            </w:pPr>
          </w:p>
        </w:tc>
      </w:tr>
    </w:tbl>
    <w:p w14:paraId="3A8664E6" w14:textId="77777777" w:rsidR="00853B1D" w:rsidRPr="007634B1" w:rsidRDefault="00853B1D" w:rsidP="00853B1D">
      <w:pPr>
        <w:spacing w:after="0" w:line="360" w:lineRule="auto"/>
        <w:jc w:val="center"/>
        <w:rPr>
          <w:rFonts w:asciiTheme="majorBidi" w:hAnsiTheme="majorBidi" w:cstheme="majorBidi"/>
          <w:i/>
          <w:iCs/>
          <w:spacing w:val="-2"/>
          <w:sz w:val="18"/>
          <w:szCs w:val="18"/>
        </w:rPr>
      </w:pPr>
      <w:r>
        <w:rPr>
          <w:rFonts w:asciiTheme="majorBidi" w:hAnsiTheme="majorBidi" w:cstheme="majorBidi"/>
          <w:i/>
          <w:iCs/>
          <w:spacing w:val="-2"/>
          <w:sz w:val="18"/>
          <w:szCs w:val="18"/>
        </w:rPr>
        <w:t xml:space="preserve">Table 4. </w:t>
      </w:r>
      <w:r w:rsidRPr="007634B1">
        <w:rPr>
          <w:rFonts w:asciiTheme="majorBidi" w:hAnsiTheme="majorBidi" w:cstheme="majorBidi"/>
          <w:i/>
          <w:iCs/>
          <w:spacing w:val="-2"/>
          <w:sz w:val="18"/>
          <w:szCs w:val="18"/>
        </w:rPr>
        <w:t>Test: Chi-square or Fisher’s exact, as appropriate. Significance: α = 0.05</w:t>
      </w:r>
    </w:p>
    <w:p w14:paraId="50D98ED7" w14:textId="77777777" w:rsidR="00853B1D" w:rsidRPr="008F66D3" w:rsidRDefault="00853B1D" w:rsidP="00853B1D">
      <w:pPr>
        <w:autoSpaceDE w:val="0"/>
        <w:autoSpaceDN w:val="0"/>
        <w:adjustRightInd w:val="0"/>
        <w:spacing w:after="0" w:line="360" w:lineRule="auto"/>
        <w:jc w:val="both"/>
        <w:rPr>
          <w:rFonts w:asciiTheme="majorBidi" w:hAnsiTheme="majorBidi" w:cstheme="majorBidi"/>
          <w:spacing w:val="-2"/>
        </w:rPr>
      </w:pPr>
    </w:p>
    <w:p w14:paraId="4549AC4A" w14:textId="77777777" w:rsidR="00853B1D" w:rsidRDefault="00853B1D" w:rsidP="00853B1D">
      <w:pPr>
        <w:spacing w:after="0"/>
        <w:rPr>
          <w:spacing w:val="-2"/>
        </w:rPr>
      </w:pPr>
    </w:p>
    <w:p w14:paraId="2D0A28A9" w14:textId="77777777" w:rsidR="003C5B81" w:rsidRDefault="003C5B81"/>
    <w:sectPr w:rsidR="003C5B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42A7" w14:textId="77777777" w:rsidR="000962D0" w:rsidRDefault="000962D0" w:rsidP="00853B1D">
      <w:pPr>
        <w:spacing w:after="0" w:line="240" w:lineRule="auto"/>
      </w:pPr>
      <w:r>
        <w:separator/>
      </w:r>
    </w:p>
  </w:endnote>
  <w:endnote w:type="continuationSeparator" w:id="0">
    <w:p w14:paraId="1DD49DE2" w14:textId="77777777" w:rsidR="000962D0" w:rsidRDefault="000962D0" w:rsidP="0085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F0D1" w14:textId="77777777" w:rsidR="000962D0" w:rsidRDefault="000962D0" w:rsidP="00853B1D">
      <w:pPr>
        <w:spacing w:after="0" w:line="240" w:lineRule="auto"/>
      </w:pPr>
      <w:r>
        <w:separator/>
      </w:r>
    </w:p>
  </w:footnote>
  <w:footnote w:type="continuationSeparator" w:id="0">
    <w:p w14:paraId="54D2E9B8" w14:textId="77777777" w:rsidR="000962D0" w:rsidRDefault="000962D0" w:rsidP="00853B1D">
      <w:pPr>
        <w:spacing w:after="0" w:line="240" w:lineRule="auto"/>
      </w:pPr>
      <w:r>
        <w:continuationSeparator/>
      </w:r>
    </w:p>
  </w:footnote>
  <w:footnote w:id="1">
    <w:p w14:paraId="1989509F" w14:textId="77777777" w:rsidR="00853B1D" w:rsidRPr="009234A3" w:rsidRDefault="00853B1D" w:rsidP="00853B1D">
      <w:pPr>
        <w:pStyle w:val="FootnoteText"/>
        <w:rPr>
          <w:highlight w:val="yellow"/>
          <w:rtl/>
          <w:lang w:bidi="fa-IR"/>
        </w:rPr>
      </w:pPr>
      <w:r w:rsidRPr="009234A3">
        <w:rPr>
          <w:rStyle w:val="FootnoteReference"/>
          <w:highlight w:val="yellow"/>
        </w:rPr>
        <w:footnoteRef/>
      </w:r>
      <w:r w:rsidRPr="009234A3">
        <w:rPr>
          <w:highlight w:val="yellow"/>
        </w:rPr>
        <w:t xml:space="preserve"> </w:t>
      </w:r>
      <w:r w:rsidRPr="009234A3">
        <w:rPr>
          <w:rFonts w:asciiTheme="majorBidi" w:hAnsiTheme="majorBidi" w:cstheme="majorBidi"/>
          <w:i/>
          <w:iCs/>
          <w:spacing w:val="-2"/>
          <w:sz w:val="18"/>
          <w:szCs w:val="18"/>
          <w:highlight w:val="yellow"/>
        </w:rPr>
        <w:t>Test: Chi-square or Fisher’s exact, as appropriate. Significance: α = 0.05</w:t>
      </w:r>
    </w:p>
  </w:footnote>
  <w:footnote w:id="2">
    <w:p w14:paraId="43E697D6" w14:textId="77777777" w:rsidR="00853B1D" w:rsidRDefault="00853B1D" w:rsidP="00853B1D">
      <w:pPr>
        <w:pStyle w:val="FootnoteText"/>
        <w:rPr>
          <w:rtl/>
          <w:lang w:bidi="fa-IR"/>
        </w:rPr>
      </w:pPr>
      <w:r w:rsidRPr="009234A3">
        <w:rPr>
          <w:rStyle w:val="FootnoteReference"/>
          <w:highlight w:val="yellow"/>
        </w:rPr>
        <w:footnoteRef/>
      </w:r>
      <w:r w:rsidRPr="009234A3">
        <w:rPr>
          <w:highlight w:val="yellow"/>
        </w:rPr>
        <w:t xml:space="preserve"> </w:t>
      </w:r>
      <w:r w:rsidRPr="009234A3">
        <w:rPr>
          <w:rFonts w:asciiTheme="majorBidi" w:hAnsiTheme="majorBidi" w:cstheme="majorBidi"/>
          <w:i/>
          <w:iCs/>
          <w:spacing w:val="-2"/>
          <w:sz w:val="18"/>
          <w:szCs w:val="18"/>
          <w:highlight w:val="yellow"/>
        </w:rPr>
        <w:t>Test: Chi-square or Fisher’s exact, as appropriate. Significance: α = 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6734"/>
    <w:multiLevelType w:val="multilevel"/>
    <w:tmpl w:val="F9AE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7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29"/>
    <w:rsid w:val="00000CFA"/>
    <w:rsid w:val="000962D0"/>
    <w:rsid w:val="001271BA"/>
    <w:rsid w:val="003C5B81"/>
    <w:rsid w:val="00853B1D"/>
    <w:rsid w:val="00A252CB"/>
    <w:rsid w:val="00AA44CD"/>
    <w:rsid w:val="00C55429"/>
    <w:rsid w:val="00CC4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D31D"/>
  <w15:chartTrackingRefBased/>
  <w15:docId w15:val="{422F740F-EC33-4934-BFB9-94A5AC8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1D"/>
    <w:rPr>
      <w:rFonts w:eastAsiaTheme="minorEastAsia"/>
    </w:rPr>
  </w:style>
  <w:style w:type="paragraph" w:styleId="Heading1">
    <w:name w:val="heading 1"/>
    <w:basedOn w:val="Normal"/>
    <w:next w:val="Normal"/>
    <w:link w:val="Heading1Char"/>
    <w:uiPriority w:val="9"/>
    <w:qFormat/>
    <w:rsid w:val="00C55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4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4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4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5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4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4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4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429"/>
    <w:rPr>
      <w:rFonts w:eastAsiaTheme="majorEastAsia" w:cstheme="majorBidi"/>
      <w:color w:val="272727" w:themeColor="text1" w:themeTint="D8"/>
    </w:rPr>
  </w:style>
  <w:style w:type="paragraph" w:styleId="Title">
    <w:name w:val="Title"/>
    <w:basedOn w:val="Normal"/>
    <w:next w:val="Normal"/>
    <w:link w:val="TitleChar"/>
    <w:uiPriority w:val="10"/>
    <w:qFormat/>
    <w:rsid w:val="00C55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429"/>
    <w:pPr>
      <w:spacing w:before="160"/>
      <w:jc w:val="center"/>
    </w:pPr>
    <w:rPr>
      <w:i/>
      <w:iCs/>
      <w:color w:val="404040" w:themeColor="text1" w:themeTint="BF"/>
    </w:rPr>
  </w:style>
  <w:style w:type="character" w:customStyle="1" w:styleId="QuoteChar">
    <w:name w:val="Quote Char"/>
    <w:basedOn w:val="DefaultParagraphFont"/>
    <w:link w:val="Quote"/>
    <w:uiPriority w:val="29"/>
    <w:rsid w:val="00C55429"/>
    <w:rPr>
      <w:i/>
      <w:iCs/>
      <w:color w:val="404040" w:themeColor="text1" w:themeTint="BF"/>
    </w:rPr>
  </w:style>
  <w:style w:type="paragraph" w:styleId="ListParagraph">
    <w:name w:val="List Paragraph"/>
    <w:basedOn w:val="Normal"/>
    <w:uiPriority w:val="34"/>
    <w:qFormat/>
    <w:rsid w:val="00C55429"/>
    <w:pPr>
      <w:ind w:left="720"/>
      <w:contextualSpacing/>
    </w:pPr>
  </w:style>
  <w:style w:type="character" w:styleId="IntenseEmphasis">
    <w:name w:val="Intense Emphasis"/>
    <w:basedOn w:val="DefaultParagraphFont"/>
    <w:uiPriority w:val="21"/>
    <w:qFormat/>
    <w:rsid w:val="00C55429"/>
    <w:rPr>
      <w:i/>
      <w:iCs/>
      <w:color w:val="2F5496" w:themeColor="accent1" w:themeShade="BF"/>
    </w:rPr>
  </w:style>
  <w:style w:type="paragraph" w:styleId="IntenseQuote">
    <w:name w:val="Intense Quote"/>
    <w:basedOn w:val="Normal"/>
    <w:next w:val="Normal"/>
    <w:link w:val="IntenseQuoteChar"/>
    <w:uiPriority w:val="30"/>
    <w:qFormat/>
    <w:rsid w:val="00C55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429"/>
    <w:rPr>
      <w:i/>
      <w:iCs/>
      <w:color w:val="2F5496" w:themeColor="accent1" w:themeShade="BF"/>
    </w:rPr>
  </w:style>
  <w:style w:type="character" w:styleId="IntenseReference">
    <w:name w:val="Intense Reference"/>
    <w:basedOn w:val="DefaultParagraphFont"/>
    <w:uiPriority w:val="32"/>
    <w:qFormat/>
    <w:rsid w:val="00C55429"/>
    <w:rPr>
      <w:b/>
      <w:bCs/>
      <w:smallCaps/>
      <w:color w:val="2F5496" w:themeColor="accent1" w:themeShade="BF"/>
      <w:spacing w:val="5"/>
    </w:rPr>
  </w:style>
  <w:style w:type="character" w:styleId="Hyperlink">
    <w:name w:val="Hyperlink"/>
    <w:basedOn w:val="DefaultParagraphFont"/>
    <w:uiPriority w:val="99"/>
    <w:rsid w:val="00853B1D"/>
    <w:rPr>
      <w:color w:val="0000FF"/>
      <w:u w:val="single"/>
    </w:rPr>
  </w:style>
  <w:style w:type="table" w:styleId="TableGrid">
    <w:name w:val="Table Grid"/>
    <w:basedOn w:val="TableNormal"/>
    <w:uiPriority w:val="39"/>
    <w:rsid w:val="00853B1D"/>
    <w:pPr>
      <w:spacing w:after="0" w:line="240" w:lineRule="auto"/>
    </w:pPr>
    <w:rPr>
      <w:rFonts w:ascii="Calibri" w:eastAsia="Calibri" w:hAnsi="Calibri" w:cs="Arial"/>
      <w:kern w:val="0"/>
      <w:sz w:val="22"/>
      <w:szCs w:val="22"/>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
    <w:name w:val="EndNote Bibliography"/>
    <w:basedOn w:val="Normal"/>
    <w:link w:val="EndNoteBibliographyChar"/>
    <w:rsid w:val="00853B1D"/>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853B1D"/>
    <w:rPr>
      <w:rFonts w:ascii="Aptos" w:eastAsiaTheme="minorEastAsia" w:hAnsi="Aptos"/>
      <w:noProof/>
    </w:rPr>
  </w:style>
  <w:style w:type="paragraph" w:styleId="FootnoteText">
    <w:name w:val="footnote text"/>
    <w:basedOn w:val="Normal"/>
    <w:link w:val="FootnoteTextChar"/>
    <w:uiPriority w:val="99"/>
    <w:semiHidden/>
    <w:unhideWhenUsed/>
    <w:rsid w:val="00853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B1D"/>
    <w:rPr>
      <w:rFonts w:eastAsiaTheme="minorEastAsia"/>
      <w:sz w:val="20"/>
      <w:szCs w:val="20"/>
    </w:rPr>
  </w:style>
  <w:style w:type="character" w:styleId="FootnoteReference">
    <w:name w:val="footnote reference"/>
    <w:basedOn w:val="DefaultParagraphFont"/>
    <w:uiPriority w:val="99"/>
    <w:semiHidden/>
    <w:unhideWhenUsed/>
    <w:rsid w:val="00853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Most common risk factors among patients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Sheet1!$A$2:$A$5</c:f>
              <c:strCache>
                <c:ptCount val="4"/>
                <c:pt idx="0">
                  <c:v>Cigarette</c:v>
                </c:pt>
                <c:pt idx="1">
                  <c:v>Hookah</c:v>
                </c:pt>
                <c:pt idx="2">
                  <c:v>Snuff</c:v>
                </c:pt>
                <c:pt idx="3">
                  <c:v>Opium</c:v>
                </c:pt>
              </c:strCache>
            </c:strRef>
          </c:cat>
          <c:val>
            <c:numRef>
              <c:f>Sheet1!$B$2:$B$5</c:f>
              <c:numCache>
                <c:formatCode>0.00%</c:formatCode>
                <c:ptCount val="4"/>
                <c:pt idx="0">
                  <c:v>0.54</c:v>
                </c:pt>
                <c:pt idx="1">
                  <c:v>0.54</c:v>
                </c:pt>
                <c:pt idx="2">
                  <c:v>0.67300000000000004</c:v>
                </c:pt>
                <c:pt idx="3">
                  <c:v>0.47599999999999998</c:v>
                </c:pt>
              </c:numCache>
            </c:numRef>
          </c:val>
          <c:extLst>
            <c:ext xmlns:c16="http://schemas.microsoft.com/office/drawing/2014/chart" uri="{C3380CC4-5D6E-409C-BE32-E72D297353CC}">
              <c16:uniqueId val="{00000000-FBD0-46DB-8833-C69B23A17109}"/>
            </c:ext>
          </c:extLst>
        </c:ser>
        <c:ser>
          <c:idx val="1"/>
          <c:order val="1"/>
          <c:tx>
            <c:strRef>
              <c:f>Sheet1!$C$1</c:f>
              <c:strCache>
                <c:ptCount val="1"/>
                <c:pt idx="0">
                  <c:v>No</c:v>
                </c:pt>
              </c:strCache>
            </c:strRef>
          </c:tx>
          <c:spPr>
            <a:solidFill>
              <a:schemeClr val="accent2"/>
            </a:solidFill>
            <a:ln>
              <a:noFill/>
            </a:ln>
            <a:effectLst/>
          </c:spPr>
          <c:invertIfNegative val="0"/>
          <c:cat>
            <c:strRef>
              <c:f>Sheet1!$A$2:$A$5</c:f>
              <c:strCache>
                <c:ptCount val="4"/>
                <c:pt idx="0">
                  <c:v>Cigarette</c:v>
                </c:pt>
                <c:pt idx="1">
                  <c:v>Hookah</c:v>
                </c:pt>
                <c:pt idx="2">
                  <c:v>Snuff</c:v>
                </c:pt>
                <c:pt idx="3">
                  <c:v>Opium</c:v>
                </c:pt>
              </c:strCache>
            </c:strRef>
          </c:cat>
          <c:val>
            <c:numRef>
              <c:f>Sheet1!$C$2:$C$5</c:f>
              <c:numCache>
                <c:formatCode>0.00%</c:formatCode>
                <c:ptCount val="4"/>
                <c:pt idx="0">
                  <c:v>0.46</c:v>
                </c:pt>
                <c:pt idx="1">
                  <c:v>0.46</c:v>
                </c:pt>
                <c:pt idx="2">
                  <c:v>0.317</c:v>
                </c:pt>
                <c:pt idx="3">
                  <c:v>0.52400000000000002</c:v>
                </c:pt>
              </c:numCache>
            </c:numRef>
          </c:val>
          <c:extLst>
            <c:ext xmlns:c16="http://schemas.microsoft.com/office/drawing/2014/chart" uri="{C3380CC4-5D6E-409C-BE32-E72D297353CC}">
              <c16:uniqueId val="{00000001-FBD0-46DB-8833-C69B23A17109}"/>
            </c:ext>
          </c:extLst>
        </c:ser>
        <c:dLbls>
          <c:showLegendKey val="0"/>
          <c:showVal val="0"/>
          <c:showCatName val="0"/>
          <c:showSerName val="0"/>
          <c:showPercent val="0"/>
          <c:showBubbleSize val="0"/>
        </c:dLbls>
        <c:gapWidth val="219"/>
        <c:overlap val="-27"/>
        <c:axId val="1407339167"/>
        <c:axId val="1407338207"/>
      </c:barChart>
      <c:catAx>
        <c:axId val="140733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338207"/>
        <c:crosses val="autoZero"/>
        <c:auto val="1"/>
        <c:lblAlgn val="ctr"/>
        <c:lblOffset val="100"/>
        <c:noMultiLvlLbl val="0"/>
      </c:catAx>
      <c:valAx>
        <c:axId val="14073382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339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Location of tumor</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DFE2-495D-9A8D-681C4E85CC7F}"/>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DFE2-495D-9A8D-681C4E85CC7F}"/>
              </c:ext>
            </c:extLst>
          </c:dPt>
          <c:dPt>
            <c:idx val="2"/>
            <c:bubble3D val="0"/>
            <c:spPr>
              <a:solidFill>
                <a:srgbClr val="FFFF00">
                  <a:alpha val="39000"/>
                </a:srgbClr>
              </a:solidFill>
              <a:ln w="9525" cap="flat" cmpd="sng" algn="ctr">
                <a:solidFill>
                  <a:schemeClr val="accent3">
                    <a:shade val="95000"/>
                  </a:schemeClr>
                </a:solidFill>
                <a:round/>
              </a:ln>
              <a:effectLst/>
            </c:spPr>
            <c:extLst>
              <c:ext xmlns:c16="http://schemas.microsoft.com/office/drawing/2014/chart" uri="{C3380CC4-5D6E-409C-BE32-E72D297353CC}">
                <c16:uniqueId val="{00000005-DFE2-495D-9A8D-681C4E85CC7F}"/>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DFE2-495D-9A8D-681C4E85CC7F}"/>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DFE2-495D-9A8D-681C4E85CC7F}"/>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DFE2-495D-9A8D-681C4E85CC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Lip</c:v>
                </c:pt>
                <c:pt idx="1">
                  <c:v>Tongue (lateral, dorsal, and ventral)</c:v>
                </c:pt>
                <c:pt idx="2">
                  <c:v>Maxillary gingiva</c:v>
                </c:pt>
                <c:pt idx="3">
                  <c:v>Mandibular gingiva</c:v>
                </c:pt>
                <c:pt idx="4">
                  <c:v>Buccal mucosa</c:v>
                </c:pt>
                <c:pt idx="5">
                  <c:v>The floor of the mouth</c:v>
                </c:pt>
              </c:strCache>
            </c:strRef>
          </c:cat>
          <c:val>
            <c:numRef>
              <c:f>Sheet1!$B$2:$B$7</c:f>
              <c:numCache>
                <c:formatCode>0.00%</c:formatCode>
                <c:ptCount val="6"/>
                <c:pt idx="0">
                  <c:v>7.9000000000000001E-2</c:v>
                </c:pt>
                <c:pt idx="1">
                  <c:v>0.127</c:v>
                </c:pt>
                <c:pt idx="2">
                  <c:v>0.111</c:v>
                </c:pt>
                <c:pt idx="3">
                  <c:v>0.28599999999999998</c:v>
                </c:pt>
                <c:pt idx="4">
                  <c:v>1.6E-2</c:v>
                </c:pt>
                <c:pt idx="5">
                  <c:v>0.38100000000000001</c:v>
                </c:pt>
              </c:numCache>
            </c:numRef>
          </c:val>
          <c:extLst>
            <c:ext xmlns:c16="http://schemas.microsoft.com/office/drawing/2014/chart" uri="{C3380CC4-5D6E-409C-BE32-E72D297353CC}">
              <c16:uniqueId val="{0000000C-DFE2-495D-9A8D-681C4E85CC7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4835</Words>
  <Characters>27566</Characters>
  <Application>Microsoft Office Word</Application>
  <DocSecurity>0</DocSecurity>
  <Lines>229</Lines>
  <Paragraphs>64</Paragraphs>
  <ScaleCrop>false</ScaleCrop>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sadra gholami</dc:creator>
  <cp:keywords/>
  <dc:description/>
  <cp:lastModifiedBy>sadra gholami</cp:lastModifiedBy>
  <cp:revision>2</cp:revision>
  <dcterms:created xsi:type="dcterms:W3CDTF">2025-09-27T14:03:00Z</dcterms:created>
  <dcterms:modified xsi:type="dcterms:W3CDTF">2025-09-27T14:03:00Z</dcterms:modified>
</cp:coreProperties>
</file>